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Анализ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Алтайского района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за 2020 год</w:t>
      </w:r>
      <w:r/>
    </w:p>
    <w:p>
      <w:pPr>
        <w:jc w:val="both"/>
      </w:pPr>
      <w:r/>
      <w:r/>
    </w:p>
    <w:p>
      <w:pPr>
        <w:ind w:firstLine="708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pacing w:lineRule="auto" w:line="360"/>
        <w:shd w:val="clear" w:fill="FFFFFF" w:color="FFFFFF"/>
        <w:rPr>
          <w:sz w:val="28"/>
          <w:highlight w:val="none"/>
        </w:rPr>
      </w:pPr>
      <w:r>
        <w:rPr>
          <w:rFonts w:eastAsia="Times New Roman"/>
          <w:color w:val="000000"/>
          <w:sz w:val="28"/>
          <w:lang w:eastAsia="ru-RU"/>
        </w:rPr>
        <w:t xml:space="preserve">Анализ состояния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sz w:val="28"/>
          <w:lang w:eastAsia="ru-RU"/>
        </w:rPr>
        <w:t xml:space="preserve">Алтайского района Алтайского края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sz w:val="28"/>
          <w:lang w:eastAsia="ru-RU"/>
        </w:rPr>
        <w:t xml:space="preserve"> «</w:t>
      </w:r>
      <w:r>
        <w:rPr>
          <w:sz w:val="28"/>
          <w:lang w:eastAsia="ru-RU"/>
        </w:rPr>
        <w:t xml:space="preserve">О развитии малого и среднего предпринимательства в Российской Федерации».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360" w:after="0" w:before="240"/>
        <w:tabs>
          <w:tab w:val="left" w:pos="7441" w:leader="none"/>
        </w:tabs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12 месяцев 2020 года вновь зарегистрировано - 115 субъектов, из них 16 юридических лиц и 99 индивидуальных предпринимателей. Предпринимательство в районе, преимущественно, занимается розничной торговлей, разведением моло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чного крупного рогатого скота, выращиванием зерновых культур, бытовыми и туристическими услугами.</w:t>
      </w:r>
      <w:r>
        <w:tab/>
      </w:r>
      <w:r/>
    </w:p>
    <w:p>
      <w:pPr>
        <w:ind w:left="0" w:right="0" w:firstLine="0"/>
        <w:jc w:val="both"/>
        <w:spacing w:lineRule="atLeast" w:line="65" w:after="0" w:before="240"/>
        <w:tabs>
          <w:tab w:val="left" w:pos="7441" w:leader="none"/>
        </w:tabs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</w:rPr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72125" cy="31718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572125" cy="317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8.8pt;height:249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left="0" w:right="0" w:firstLine="0"/>
        <w:jc w:val="both"/>
        <w:spacing w:lineRule="atLeast" w:line="65" w:after="0" w:before="240"/>
        <w:tabs>
          <w:tab w:val="left" w:pos="7441" w:leader="none"/>
        </w:tabs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65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территории Алтайского района, по состоянию на 10 января 2021 года, согласно Единого реестра субъектов малого и среднего предпринимательства, осуществляют деятельность 596 субъектов.</w:t>
      </w:r>
      <w:r>
        <w:rPr>
          <w:highlight w:val="none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67375" cy="3238500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67374" cy="323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46.3pt;height:255.0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На данной диаграмме  можно увидеть снижение количества  СМСП. Основными причинами этого стали: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ru-RU"/>
        </w:rPr>
        <w:t xml:space="preserve"> - 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введение государством ограничений по пандемии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eastAsia="ru-RU"/>
        </w:rPr>
      </w:r>
      <w:r/>
    </w:p>
    <w:p>
      <w:pPr>
        <w:pStyle w:val="626"/>
        <w:numPr>
          <w:ilvl w:val="0"/>
          <w:numId w:val="3"/>
        </w:numPr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ru-RU"/>
        </w:rPr>
        <w:t xml:space="preserve">введение нового налога на самозанятых граждан;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26"/>
        <w:numPr>
          <w:ilvl w:val="0"/>
          <w:numId w:val="3"/>
        </w:numPr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ru-RU"/>
        </w:rPr>
        <w:t xml:space="preserve">добровольного принятия соответствующего решения.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  <w:lang w:val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0"/>
        <w:jc w:val="both"/>
        <w:tabs>
          <w:tab w:val="left" w:pos="1134" w:leader="none"/>
        </w:tabs>
      </w:pPr>
      <w:r>
        <w:t xml:space="preserve">Динамика изменения количества зарегистрированных на территории Муниципального образования Алтайский района субъектов малого предпринимательства в разрезе категорий</w:t>
      </w:r>
      <w:r>
        <w:t xml:space="preserve"> приведена в таблице 1</w:t>
      </w:r>
      <w:r/>
    </w:p>
    <w:p>
      <w:pPr>
        <w:jc w:val="right"/>
        <w:tabs>
          <w:tab w:val="left" w:pos="0" w:leader="none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</w:t>
      </w:r>
      <w:r/>
    </w:p>
    <w:tbl>
      <w:tblPr>
        <w:tblStyle w:val="648"/>
        <w:tblW w:w="0" w:type="auto"/>
        <w:tblLook w:val="04A0" w:firstRow="1" w:lastRow="0" w:firstColumn="1" w:lastColumn="0" w:noHBand="0" w:noVBand="1"/>
      </w:tblPr>
      <w:tblGrid>
        <w:gridCol w:w="635"/>
        <w:gridCol w:w="3750"/>
        <w:gridCol w:w="1218"/>
        <w:gridCol w:w="1451"/>
        <w:gridCol w:w="1297"/>
        <w:gridCol w:w="1297"/>
        <w:gridCol w:w="1645"/>
      </w:tblGrid>
      <w:tr>
        <w:trPr/>
        <w:tc>
          <w:tcPr>
            <w:tcW w:w="63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W w:w="3750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Вид субъекта предпринимательства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>
              <w:rPr>
                <w:b/>
              </w:rPr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2017</w:t>
            </w:r>
            <w:r>
              <w:rPr>
                <w:b/>
              </w:rPr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W w:w="164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635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1</w:t>
            </w:r>
            <w:r/>
          </w:p>
        </w:tc>
        <w:tc>
          <w:tcPr>
            <w:tcW w:w="375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Микро предприятие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jc w:val="center"/>
            </w:pPr>
            <w:r>
              <w:t xml:space="preserve">666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</w:pPr>
            <w:r>
              <w:t xml:space="preserve">648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614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581</w:t>
            </w:r>
            <w:r/>
          </w:p>
        </w:tc>
        <w:tc>
          <w:tcPr>
            <w:tcW w:w="1645" w:type="dxa"/>
            <w:textDirection w:val="lrTb"/>
            <w:noWrap w:val="false"/>
          </w:tcPr>
          <w:p>
            <w:pPr>
              <w:jc w:val="center"/>
            </w:pPr>
            <w:r>
              <w:t xml:space="preserve">573</w:t>
            </w:r>
            <w:r/>
          </w:p>
        </w:tc>
      </w:tr>
      <w:tr>
        <w:trPr>
          <w:trHeight w:val="320"/>
        </w:trPr>
        <w:tc>
          <w:tcPr>
            <w:tcW w:w="635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2</w:t>
            </w:r>
            <w:r/>
          </w:p>
        </w:tc>
        <w:tc>
          <w:tcPr>
            <w:tcW w:w="375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Малое предприятие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1645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</w:tr>
      <w:tr>
        <w:trPr/>
        <w:tc>
          <w:tcPr>
            <w:tcW w:w="635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3</w:t>
            </w:r>
            <w:r/>
          </w:p>
        </w:tc>
        <w:tc>
          <w:tcPr>
            <w:tcW w:w="375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Среднее предприятие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1645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635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/>
            <w:r/>
          </w:p>
        </w:tc>
        <w:tc>
          <w:tcPr>
            <w:tcW w:w="3750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W w:w="1218" w:type="dxa"/>
            <w:textDirection w:val="lrTb"/>
            <w:noWrap w:val="false"/>
          </w:tcPr>
          <w:p>
            <w:pPr>
              <w:jc w:val="center"/>
            </w:pPr>
            <w:r>
              <w:t xml:space="preserve">681</w:t>
            </w:r>
            <w:r/>
          </w:p>
        </w:tc>
        <w:tc>
          <w:tcPr>
            <w:tcW w:w="1451" w:type="dxa"/>
            <w:textDirection w:val="lrTb"/>
            <w:noWrap w:val="false"/>
          </w:tcPr>
          <w:p>
            <w:pPr>
              <w:jc w:val="center"/>
            </w:pPr>
            <w:r>
              <w:t xml:space="preserve">673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638</w:t>
            </w:r>
            <w:r/>
          </w:p>
        </w:tc>
        <w:tc>
          <w:tcPr>
            <w:tcW w:w="1297" w:type="dxa"/>
            <w:textDirection w:val="lrTb"/>
            <w:noWrap w:val="false"/>
          </w:tcPr>
          <w:p>
            <w:pPr>
              <w:jc w:val="center"/>
            </w:pPr>
            <w:r>
              <w:t xml:space="preserve">604</w:t>
            </w:r>
            <w:r/>
          </w:p>
        </w:tc>
        <w:tc>
          <w:tcPr>
            <w:tcW w:w="1645" w:type="dxa"/>
            <w:textDirection w:val="lrTb"/>
            <w:noWrap w:val="false"/>
          </w:tcPr>
          <w:p>
            <w:pPr>
              <w:jc w:val="center"/>
            </w:pPr>
            <w:r>
              <w:t xml:space="preserve">596</w:t>
            </w:r>
            <w:r/>
          </w:p>
        </w:tc>
      </w:tr>
    </w:tbl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highlight w:val="none"/>
          <w:lang w:eastAsia="ru-RU"/>
        </w:rPr>
      </w:pPr>
      <w:r>
        <w:rPr>
          <w:b/>
          <w:lang w:eastAsia="ru-RU"/>
        </w:rPr>
        <w:t xml:space="preserve">Сведения об индикаторах муниципальной программы «Поддержка и развитие малого и среднего предпринимательства в Алтайском районе</w:t>
      </w:r>
      <w:r>
        <w:rPr>
          <w:b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  <w:lang w:eastAsia="ru-RU"/>
        </w:rPr>
      </w:r>
      <w:r>
        <w:rPr>
          <w:b/>
          <w:highlight w:val="none"/>
          <w:lang w:eastAsia="ru-RU"/>
        </w:rPr>
      </w:r>
      <w:r/>
    </w:p>
    <w:tbl>
      <w:tblPr>
        <w:tblStyle w:val="64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404"/>
        <w:gridCol w:w="1238"/>
        <w:gridCol w:w="1164"/>
        <w:gridCol w:w="1164"/>
        <w:gridCol w:w="1164"/>
        <w:gridCol w:w="1164"/>
        <w:gridCol w:w="1164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№ п/п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Наименование </w:t>
            </w:r>
            <w:r>
              <w:rPr>
                <w:b/>
                <w:highlight w:val="none"/>
              </w:rPr>
            </w:r>
            <w:r/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индикатора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ед.изм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2016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2017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2018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2019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2020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Удельный вес занятых в малом и среднем бизнесе в общей численности занятых в экономике района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33,5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31,7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34,3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100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100</w:t>
            </w:r>
            <w:r>
              <w:rPr>
                <w:b w:val="false"/>
                <w:sz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Оборот розничной торговли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тыс.руб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721180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776419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1009494,5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1418339,8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1222187</w:t>
            </w:r>
            <w:r>
              <w:rPr>
                <w:b w:val="false"/>
                <w:sz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Уровень среднемесячной начисленной заработной платы одного работника на малых и средних предприятиях Алтайского района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76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100,3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207,5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158,4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165,3</w:t>
            </w:r>
            <w:r>
              <w:rPr>
                <w:b w:val="false"/>
                <w:sz w:val="20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2404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Количество СМСП Алтайского района, получивших государственную поддержку, в рамках предоставления целевых грантов начинающим предпринимателям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0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jc w:val="center"/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0</w:t>
            </w:r>
            <w:r>
              <w:rPr>
                <w:b w:val="false"/>
                <w:sz w:val="20"/>
              </w:rPr>
            </w:r>
            <w:r/>
          </w:p>
        </w:tc>
        <w:tc>
          <w:tcPr>
            <w:tcW w:w="1164" w:type="dxa"/>
            <w:textDirection w:val="lrTb"/>
            <w:noWrap w:val="false"/>
          </w:tcPr>
          <w:p>
            <w:pPr>
              <w:rPr>
                <w:b w:val="false"/>
                <w:sz w:val="20"/>
                <w:highlight w:val="none"/>
              </w:rPr>
            </w:pPr>
            <w:r>
              <w:rPr>
                <w:b w:val="false"/>
                <w:sz w:val="20"/>
                <w:highlight w:val="none"/>
              </w:rPr>
              <w:t xml:space="preserve">0</w:t>
            </w:r>
            <w:r>
              <w:rPr>
                <w:b w:val="false"/>
                <w:sz w:val="20"/>
              </w:rPr>
            </w:r>
            <w:r/>
          </w:p>
        </w:tc>
      </w:tr>
    </w:tbl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  <w:t xml:space="preserve">Основные показатели, характеризующие  дислокацию организаций розничной торговли и общественного питания</w:t>
      </w:r>
      <w:r>
        <w:rPr>
          <w:b/>
          <w:highlight w:val="none"/>
        </w:rPr>
      </w:r>
      <w:r/>
    </w:p>
    <w:tbl>
      <w:tblPr>
        <w:tblStyle w:val="64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939"/>
        <w:gridCol w:w="1166"/>
        <w:gridCol w:w="1166"/>
        <w:gridCol w:w="1166"/>
        <w:gridCol w:w="1166"/>
        <w:gridCol w:w="1166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№ п/п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Наименование </w:t>
            </w:r>
            <w:r>
              <w:rPr>
                <w:b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показателя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ед.изм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2019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2020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1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tabs>
                <w:tab w:val="right" w:pos="2219" w:leader="none"/>
              </w:tabs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действующих магазинов, всего</w:t>
            </w:r>
            <w:r>
              <w:rPr>
                <w:b/>
                <w:highlight w:val="none"/>
              </w:rPr>
              <w:t xml:space="preserve">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214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272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 том числе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20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непродовольственных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136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смешанных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116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площадью стационарных торговых объектов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681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3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нестационарными торговыми объектами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1,15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4,63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4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розничной торговли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5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Общедоступная сеть предприятий общественного питания: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</w:rPr>
              <w:t xml:space="preserve">34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 том числе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рестораны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кафе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бары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закусочные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столовые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иные пункты питания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посадочных мест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1709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1717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1992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  <w:t xml:space="preserve">431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1299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общественного питания/кол-во мест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2/48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2/82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5/234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объектов бытового обслуживания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74</w:t>
            </w:r>
            <w:r>
              <w:rPr>
                <w:b w:val="false"/>
              </w:rPr>
            </w:r>
            <w:r/>
          </w:p>
        </w:tc>
      </w:tr>
    </w:tbl>
    <w:p>
      <w:pPr>
        <w:ind w:firstLine="0"/>
        <w:jc w:val="lef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0"/>
        <w:jc w:val="both"/>
        <w:spacing w:lineRule="auto" w:line="276"/>
        <w:tabs>
          <w:tab w:val="right" w:pos="9780" w:leader="none"/>
        </w:tabs>
        <w:rPr>
          <w:sz w:val="28"/>
          <w:highlight w:val="none"/>
        </w:rPr>
      </w:pPr>
      <w:r>
        <w:rPr>
          <w:sz w:val="28"/>
          <w:lang w:eastAsia="ru-RU"/>
        </w:rPr>
        <w:tab/>
        <w:t xml:space="preserve">          Конкурсных отборов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 на получение грантов начинающим субъектам малого и среднего предпринимательства с 2017 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года не проводилось.</w:t>
      </w:r>
      <w:r>
        <w:rPr>
          <w:sz w:val="28"/>
        </w:rPr>
        <w:tab/>
      </w:r>
      <w:r>
        <w:rPr>
          <w:sz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sz w:val="28"/>
          <w:szCs w:val="24"/>
        </w:rPr>
      </w:pPr>
      <w:r>
        <w:rPr>
          <w:sz w:val="28"/>
          <w:lang w:eastAsia="ru-RU"/>
        </w:rPr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На официальном сайте Администрации Алтайского района создан большой раздел «Предпринимательство»,  где размещена полезная  информация для бизнеса. </w:t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shd w:val="clear" w:fill="FFFFFF" w:color="FFFFFF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Постановлением Администрации Алтайского района от 02 декабря 2020 года № 1538 утверждена новая муниципальная программа «Поддержка и развитие малого и среднего предпринимательства в Алтайском районе на 2021-2025 годы.</w:t>
      </w:r>
      <w:r/>
    </w:p>
    <w:p>
      <w:pPr>
        <w:pStyle w:val="618"/>
        <w:ind w:left="0" w:right="454" w:firstLine="256"/>
        <w:jc w:val="both"/>
        <w:spacing w:lineRule="auto" w:line="276" w:after="0" w:before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объем финансирования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программы    «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Поддержка и развитие малого и среднего предпринимательства в Алтайском районе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340 тыс. рублей.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50"/>
        <w:ind w:left="0" w:right="454" w:hanging="708"/>
        <w:jc w:val="both"/>
        <w:spacing w:lineRule="auto" w:line="276" w:after="0"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отчетный период 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программы  направлено </w:t>
      </w:r>
      <w:r>
        <w:rPr>
          <w:rFonts w:ascii="Times New Roman" w:hAnsi="Times New Roman" w:cs="Times New Roman"/>
          <w:sz w:val="28"/>
          <w:szCs w:val="28"/>
        </w:rPr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tLeast" w:line="57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Основные проблемы развития сферы предпринимательства на территории Алтайского района: </w:t>
      </w:r>
      <w:r/>
    </w:p>
    <w:p>
      <w:pPr>
        <w:ind w:left="-11" w:right="0" w:firstLine="0"/>
        <w:jc w:val="both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  <w:r/>
    </w:p>
    <w:p>
      <w:pPr>
        <w:ind w:left="-11" w:right="0" w:firstLine="0"/>
        <w:jc w:val="both"/>
        <w:spacing w:lineRule="atLeast" w:line="57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доля предприятий производственной сферы, преобладание сферы торговли;</w:t>
      </w:r>
      <w:r/>
    </w:p>
    <w:p>
      <w:pPr>
        <w:ind w:left="-11" w:right="0" w:firstLine="0"/>
        <w:jc w:val="both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 дефицит квалифицированных кадров, недостаточный уровень профессиональной подготовки;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-11" w:right="0" w:firstLine="0"/>
        <w:jc w:val="both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предпринимательская активность молодежи.</w:t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 CYR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3">
    <w:name w:val="Heading 1 Char"/>
    <w:basedOn w:val="621"/>
    <w:link w:val="643"/>
    <w:uiPriority w:val="9"/>
    <w:rPr>
      <w:rFonts w:ascii="Arial" w:hAnsi="Arial" w:cs="Arial" w:eastAsia="Arial"/>
      <w:sz w:val="40"/>
      <w:szCs w:val="40"/>
    </w:rPr>
  </w:style>
  <w:style w:type="character" w:styleId="454">
    <w:name w:val="Heading 2 Char"/>
    <w:basedOn w:val="621"/>
    <w:link w:val="644"/>
    <w:uiPriority w:val="9"/>
    <w:rPr>
      <w:rFonts w:ascii="Arial" w:hAnsi="Arial" w:cs="Arial" w:eastAsia="Arial"/>
      <w:sz w:val="34"/>
    </w:rPr>
  </w:style>
  <w:style w:type="character" w:styleId="455">
    <w:name w:val="Heading 3 Char"/>
    <w:basedOn w:val="621"/>
    <w:link w:val="645"/>
    <w:uiPriority w:val="9"/>
    <w:rPr>
      <w:rFonts w:ascii="Arial" w:hAnsi="Arial" w:cs="Arial" w:eastAsia="Arial"/>
      <w:sz w:val="30"/>
      <w:szCs w:val="30"/>
    </w:rPr>
  </w:style>
  <w:style w:type="paragraph" w:styleId="456">
    <w:name w:val="Heading 4"/>
    <w:basedOn w:val="618"/>
    <w:next w:val="618"/>
    <w:link w:val="4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7">
    <w:name w:val="Heading 4 Char"/>
    <w:basedOn w:val="621"/>
    <w:link w:val="456"/>
    <w:uiPriority w:val="9"/>
    <w:rPr>
      <w:rFonts w:ascii="Arial" w:hAnsi="Arial" w:cs="Arial" w:eastAsia="Arial"/>
      <w:b/>
      <w:bCs/>
      <w:sz w:val="26"/>
      <w:szCs w:val="26"/>
    </w:rPr>
  </w:style>
  <w:style w:type="paragraph" w:styleId="458">
    <w:name w:val="Heading 5"/>
    <w:basedOn w:val="618"/>
    <w:next w:val="618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9">
    <w:name w:val="Heading 5 Char"/>
    <w:basedOn w:val="621"/>
    <w:link w:val="458"/>
    <w:uiPriority w:val="9"/>
    <w:rPr>
      <w:rFonts w:ascii="Arial" w:hAnsi="Arial" w:cs="Arial" w:eastAsia="Arial"/>
      <w:b/>
      <w:bCs/>
      <w:sz w:val="24"/>
      <w:szCs w:val="24"/>
    </w:rPr>
  </w:style>
  <w:style w:type="paragraph" w:styleId="460">
    <w:name w:val="Heading 6"/>
    <w:basedOn w:val="618"/>
    <w:next w:val="618"/>
    <w:link w:val="4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1">
    <w:name w:val="Heading 6 Char"/>
    <w:basedOn w:val="621"/>
    <w:link w:val="460"/>
    <w:uiPriority w:val="9"/>
    <w:rPr>
      <w:rFonts w:ascii="Arial" w:hAnsi="Arial" w:cs="Arial" w:eastAsia="Arial"/>
      <w:b/>
      <w:bCs/>
      <w:sz w:val="22"/>
      <w:szCs w:val="22"/>
    </w:rPr>
  </w:style>
  <w:style w:type="paragraph" w:styleId="462">
    <w:name w:val="Heading 7"/>
    <w:basedOn w:val="618"/>
    <w:next w:val="618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3">
    <w:name w:val="Heading 7 Char"/>
    <w:basedOn w:val="621"/>
    <w:link w:val="4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4">
    <w:name w:val="Heading 8"/>
    <w:basedOn w:val="618"/>
    <w:next w:val="618"/>
    <w:link w:val="4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5">
    <w:name w:val="Heading 8 Char"/>
    <w:basedOn w:val="621"/>
    <w:link w:val="464"/>
    <w:uiPriority w:val="9"/>
    <w:rPr>
      <w:rFonts w:ascii="Arial" w:hAnsi="Arial" w:cs="Arial" w:eastAsia="Arial"/>
      <w:i/>
      <w:iCs/>
      <w:sz w:val="22"/>
      <w:szCs w:val="22"/>
    </w:rPr>
  </w:style>
  <w:style w:type="paragraph" w:styleId="466">
    <w:name w:val="Heading 9"/>
    <w:basedOn w:val="618"/>
    <w:next w:val="618"/>
    <w:link w:val="4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7">
    <w:name w:val="Heading 9 Char"/>
    <w:basedOn w:val="621"/>
    <w:link w:val="466"/>
    <w:uiPriority w:val="9"/>
    <w:rPr>
      <w:rFonts w:ascii="Arial" w:hAnsi="Arial" w:cs="Arial" w:eastAsia="Arial"/>
      <w:i/>
      <w:iCs/>
      <w:sz w:val="21"/>
      <w:szCs w:val="21"/>
    </w:rPr>
  </w:style>
  <w:style w:type="character" w:styleId="468">
    <w:name w:val="Title Char"/>
    <w:basedOn w:val="621"/>
    <w:link w:val="634"/>
    <w:uiPriority w:val="10"/>
    <w:rPr>
      <w:sz w:val="48"/>
      <w:szCs w:val="48"/>
    </w:rPr>
  </w:style>
  <w:style w:type="character" w:styleId="469">
    <w:name w:val="Subtitle Char"/>
    <w:basedOn w:val="621"/>
    <w:link w:val="636"/>
    <w:uiPriority w:val="11"/>
    <w:rPr>
      <w:sz w:val="24"/>
      <w:szCs w:val="24"/>
    </w:rPr>
  </w:style>
  <w:style w:type="paragraph" w:styleId="470">
    <w:name w:val="Quote"/>
    <w:basedOn w:val="618"/>
    <w:next w:val="618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18"/>
    <w:next w:val="618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18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1"/>
    <w:link w:val="474"/>
    <w:uiPriority w:val="99"/>
  </w:style>
  <w:style w:type="paragraph" w:styleId="476">
    <w:name w:val="Footer"/>
    <w:basedOn w:val="618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1"/>
    <w:link w:val="476"/>
    <w:uiPriority w:val="99"/>
  </w:style>
  <w:style w:type="paragraph" w:styleId="478">
    <w:name w:val="Caption"/>
    <w:basedOn w:val="618"/>
    <w:next w:val="6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 Light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9">
    <w:name w:val="List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0">
    <w:name w:val="List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1">
    <w:name w:val="List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2">
    <w:name w:val="List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3">
    <w:name w:val="List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4">
    <w:name w:val="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18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1"/>
    <w:uiPriority w:val="99"/>
    <w:unhideWhenUsed/>
    <w:rPr>
      <w:vertAlign w:val="superscript"/>
    </w:rPr>
  </w:style>
  <w:style w:type="paragraph" w:styleId="609">
    <w:name w:val="endnote text"/>
    <w:basedOn w:val="618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1"/>
    <w:uiPriority w:val="99"/>
    <w:semiHidden/>
    <w:unhideWhenUsed/>
    <w:rPr>
      <w:vertAlign w:val="superscript"/>
    </w:rPr>
  </w:style>
  <w:style w:type="paragraph" w:styleId="61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61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61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61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61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61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618" w:default="1">
    <w:name w:val="Normal"/>
    <w:qFormat/>
    <w:rPr>
      <w:sz w:val="24"/>
      <w:szCs w:val="24"/>
      <w:lang w:eastAsia="zh-CN"/>
    </w:rPr>
  </w:style>
  <w:style w:type="paragraph" w:styleId="619">
    <w:name w:val="Heading 1"/>
    <w:basedOn w:val="618"/>
    <w:next w:val="618"/>
    <w:link w:val="628"/>
    <w:qFormat/>
    <w:uiPriority w:val="9"/>
    <w:rPr>
      <w:rFonts w:ascii="Cambria" w:hAnsi="Cambria" w:eastAsia="Times New Roman"/>
      <w:b/>
      <w:bCs/>
      <w:color w:val="365F91"/>
      <w:sz w:val="28"/>
      <w:szCs w:val="28"/>
    </w:rPr>
    <w:pPr>
      <w:keepLines/>
      <w:keepNext/>
      <w:spacing w:before="480"/>
      <w:outlineLvl w:val="0"/>
    </w:pPr>
  </w:style>
  <w:style w:type="paragraph" w:styleId="620">
    <w:name w:val="Heading 3"/>
    <w:basedOn w:val="618"/>
    <w:next w:val="618"/>
    <w:link w:val="629"/>
    <w:qFormat/>
    <w:uiPriority w:val="9"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Body Text"/>
    <w:basedOn w:val="618"/>
    <w:link w:val="625"/>
    <w:qFormat/>
    <w:uiPriority w:val="99"/>
    <w:unhideWhenUsed/>
    <w:pPr>
      <w:spacing w:after="120"/>
    </w:pPr>
  </w:style>
  <w:style w:type="character" w:styleId="625" w:customStyle="1">
    <w:name w:val="Основной текст Знак"/>
    <w:link w:val="624"/>
    <w:uiPriority w:val="99"/>
    <w:rPr>
      <w:sz w:val="24"/>
      <w:szCs w:val="24"/>
      <w:lang w:eastAsia="zh-CN"/>
    </w:rPr>
  </w:style>
  <w:style w:type="paragraph" w:styleId="626">
    <w:name w:val="List Paragraph"/>
    <w:basedOn w:val="618"/>
    <w:link w:val="641"/>
    <w:qFormat/>
    <w:uiPriority w:val="34"/>
    <w:pPr>
      <w:contextualSpacing w:val="true"/>
      <w:ind w:left="720"/>
    </w:pPr>
  </w:style>
  <w:style w:type="paragraph" w:styleId="627" w:customStyle="1">
    <w:name w:val="Table Paragraph"/>
    <w:basedOn w:val="618"/>
    <w:qFormat/>
    <w:uiPriority w:val="1"/>
    <w:rPr>
      <w:rFonts w:ascii="Calibri" w:hAnsi="Calibri"/>
      <w:sz w:val="22"/>
      <w:szCs w:val="22"/>
      <w:lang w:val="en-US" w:eastAsia="en-US"/>
    </w:rPr>
    <w:pPr>
      <w:widowControl w:val="off"/>
    </w:pPr>
  </w:style>
  <w:style w:type="character" w:styleId="628" w:customStyle="1">
    <w:name w:val="Заголовок 1 Знак"/>
    <w:link w:val="619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zh-CN"/>
    </w:rPr>
  </w:style>
  <w:style w:type="character" w:styleId="629" w:customStyle="1">
    <w:name w:val="Заголовок 3 Знак"/>
    <w:basedOn w:val="621"/>
    <w:link w:val="620"/>
    <w:uiPriority w:val="9"/>
    <w:rPr>
      <w:rFonts w:ascii="Cambria" w:hAnsi="Cambria" w:eastAsia="Times New Roman"/>
      <w:b/>
      <w:bCs/>
      <w:sz w:val="26"/>
      <w:szCs w:val="26"/>
      <w:lang w:eastAsia="zh-CN"/>
    </w:rPr>
  </w:style>
  <w:style w:type="character" w:styleId="630" w:customStyle="1">
    <w:name w:val="Заголовок 3 Знак1"/>
    <w:basedOn w:val="621"/>
    <w:uiPriority w:val="9"/>
    <w:rPr>
      <w:rFonts w:ascii="Cambria" w:hAnsi="Cambria" w:cs="Times New Roman" w:eastAsia="Times New Roman"/>
      <w:b/>
      <w:bCs/>
      <w:sz w:val="26"/>
      <w:szCs w:val="26"/>
      <w:lang w:eastAsia="zh-CN"/>
    </w:rPr>
  </w:style>
  <w:style w:type="paragraph" w:styleId="631">
    <w:name w:val="toc 1"/>
    <w:basedOn w:val="618"/>
    <w:next w:val="618"/>
    <w:qFormat/>
    <w:uiPriority w:val="39"/>
    <w:unhideWhenUsed/>
    <w:pPr>
      <w:spacing w:after="100"/>
    </w:pPr>
  </w:style>
  <w:style w:type="paragraph" w:styleId="632">
    <w:name w:val="toc 2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220"/>
      <w:spacing w:lineRule="auto" w:line="276" w:after="100"/>
    </w:pPr>
  </w:style>
  <w:style w:type="paragraph" w:styleId="633">
    <w:name w:val="toc 3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440"/>
      <w:spacing w:lineRule="auto" w:line="276" w:after="100"/>
    </w:pPr>
  </w:style>
  <w:style w:type="paragraph" w:styleId="634">
    <w:name w:val="Title"/>
    <w:basedOn w:val="618"/>
    <w:link w:val="635"/>
    <w:qFormat/>
    <w:rPr>
      <w:rFonts w:ascii="Cambria" w:hAnsi="Cambria" w:cs="Cambria" w:eastAsia="Times New Roman"/>
      <w:b/>
      <w:bCs/>
      <w:sz w:val="32"/>
      <w:szCs w:val="32"/>
      <w:lang w:eastAsia="ru-RU"/>
    </w:rPr>
    <w:pPr>
      <w:jc w:val="center"/>
      <w:spacing w:after="60" w:before="240"/>
      <w:widowControl w:val="off"/>
      <w:outlineLvl w:val="0"/>
    </w:pPr>
  </w:style>
  <w:style w:type="character" w:styleId="635" w:customStyle="1">
    <w:name w:val="Название Знак"/>
    <w:basedOn w:val="621"/>
    <w:link w:val="634"/>
    <w:rPr>
      <w:rFonts w:ascii="Cambria" w:hAnsi="Cambria" w:cs="Cambria" w:eastAsia="Times New Roman"/>
      <w:b/>
      <w:bCs/>
      <w:sz w:val="32"/>
      <w:szCs w:val="32"/>
    </w:rPr>
  </w:style>
  <w:style w:type="paragraph" w:styleId="636">
    <w:name w:val="Subtitle"/>
    <w:basedOn w:val="618"/>
    <w:next w:val="618"/>
    <w:link w:val="637"/>
    <w:qFormat/>
    <w:uiPriority w:val="11"/>
    <w:rPr>
      <w:rFonts w:ascii="Cambria" w:hAnsi="Cambria" w:eastAsia="Times New Roman"/>
      <w:i/>
      <w:iCs/>
      <w:color w:val="4F81BD"/>
      <w:spacing w:val="15"/>
    </w:rPr>
    <w:pPr>
      <w:numPr>
        <w:ilvl w:val="1"/>
      </w:numPr>
    </w:pPr>
  </w:style>
  <w:style w:type="character" w:styleId="637" w:customStyle="1">
    <w:name w:val="Подзаголовок Знак"/>
    <w:link w:val="636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zh-CN"/>
    </w:rPr>
  </w:style>
  <w:style w:type="character" w:styleId="638">
    <w:name w:val="Emphasis"/>
    <w:qFormat/>
    <w:rPr>
      <w:i/>
      <w:iCs/>
    </w:rPr>
  </w:style>
  <w:style w:type="paragraph" w:styleId="639">
    <w:name w:val="No Spacing"/>
    <w:link w:val="640"/>
    <w:qFormat/>
    <w:uiPriority w:val="1"/>
    <w:rPr>
      <w:rFonts w:ascii="Times New Roman CYR" w:hAnsi="Times New Roman CYR" w:eastAsia="Times New Roman"/>
      <w:lang w:eastAsia="en-US"/>
    </w:rPr>
  </w:style>
  <w:style w:type="character" w:styleId="640" w:customStyle="1">
    <w:name w:val="Без интервала Знак"/>
    <w:basedOn w:val="621"/>
    <w:link w:val="639"/>
    <w:uiPriority w:val="1"/>
    <w:rPr>
      <w:rFonts w:ascii="Times New Roman CYR" w:hAnsi="Times New Roman CYR" w:eastAsia="Times New Roman"/>
      <w:lang w:eastAsia="en-US"/>
    </w:rPr>
  </w:style>
  <w:style w:type="character" w:styleId="641" w:customStyle="1">
    <w:name w:val="Абзац списка Знак"/>
    <w:link w:val="626"/>
    <w:uiPriority w:val="34"/>
    <w:rPr>
      <w:sz w:val="24"/>
      <w:szCs w:val="24"/>
      <w:lang w:eastAsia="zh-CN"/>
    </w:rPr>
  </w:style>
  <w:style w:type="paragraph" w:styleId="642">
    <w:name w:val="TOC Heading"/>
    <w:basedOn w:val="619"/>
    <w:next w:val="618"/>
    <w:qFormat/>
    <w:uiPriority w:val="39"/>
    <w:rPr>
      <w:lang w:eastAsia="ru-RU"/>
    </w:rPr>
    <w:pPr>
      <w:spacing w:lineRule="auto" w:line="276"/>
      <w:outlineLvl w:val="9"/>
    </w:pPr>
  </w:style>
  <w:style w:type="paragraph" w:styleId="643" w:customStyle="1">
    <w:name w:val="Heading 1"/>
    <w:basedOn w:val="618"/>
    <w:qFormat/>
    <w:uiPriority w:val="1"/>
    <w:rPr>
      <w:rFonts w:eastAsia="Times New Roman"/>
      <w:b/>
      <w:bCs/>
      <w:sz w:val="22"/>
      <w:szCs w:val="22"/>
      <w:lang w:val="en-US" w:eastAsia="en-US"/>
    </w:rPr>
    <w:pPr>
      <w:ind w:left="102"/>
      <w:widowControl w:val="off"/>
      <w:outlineLvl w:val="1"/>
    </w:pPr>
  </w:style>
  <w:style w:type="paragraph" w:styleId="644" w:customStyle="1">
    <w:name w:val="Heading 2"/>
    <w:basedOn w:val="618"/>
    <w:qFormat/>
    <w:uiPriority w:val="1"/>
    <w:rPr>
      <w:rFonts w:eastAsia="Times New Roman"/>
      <w:sz w:val="22"/>
      <w:szCs w:val="22"/>
      <w:lang w:val="en-US" w:eastAsia="en-US"/>
    </w:rPr>
    <w:pPr>
      <w:ind w:left="102" w:firstLine="566"/>
      <w:widowControl w:val="off"/>
      <w:outlineLvl w:val="2"/>
    </w:pPr>
  </w:style>
  <w:style w:type="paragraph" w:styleId="645" w:customStyle="1">
    <w:name w:val="Heading 3"/>
    <w:basedOn w:val="618"/>
    <w:qFormat/>
    <w:uiPriority w:val="1"/>
    <w:rPr>
      <w:rFonts w:eastAsia="Times New Roman"/>
      <w:b/>
      <w:bCs/>
      <w:sz w:val="20"/>
      <w:szCs w:val="20"/>
      <w:lang w:val="en-US" w:eastAsia="en-US"/>
    </w:rPr>
    <w:pPr>
      <w:ind w:left="102"/>
      <w:widowControl w:val="off"/>
      <w:outlineLvl w:val="3"/>
    </w:pPr>
  </w:style>
  <w:style w:type="paragraph" w:styleId="646">
    <w:name w:val="Balloon Text"/>
    <w:basedOn w:val="618"/>
    <w:link w:val="647"/>
    <w:uiPriority w:val="99"/>
    <w:semiHidden/>
    <w:unhideWhenUsed/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21"/>
    <w:link w:val="646"/>
    <w:uiPriority w:val="99"/>
    <w:semiHidden/>
    <w:rPr>
      <w:rFonts w:ascii="Tahoma" w:hAnsi="Tahoma" w:cs="Tahoma"/>
      <w:sz w:val="16"/>
      <w:szCs w:val="16"/>
      <w:lang w:eastAsia="zh-CN"/>
    </w:rPr>
  </w:style>
  <w:style w:type="table" w:styleId="648">
    <w:name w:val="Table Grid"/>
    <w:basedOn w:val="62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9" w:customStyle="1">
    <w:name w:val="apple-converted-space"/>
  </w:style>
  <w:style w:type="paragraph" w:styleId="650" w:customStyle="1">
    <w:name w:val="ConsPlusNormal"/>
    <w:qFormat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12</cp:revision>
  <dcterms:created xsi:type="dcterms:W3CDTF">2020-02-13T12:30:00Z</dcterms:created>
  <dcterms:modified xsi:type="dcterms:W3CDTF">2021-03-09T08:56:59Z</dcterms:modified>
</cp:coreProperties>
</file>