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Анализ</w:t>
      </w:r>
      <w:r/>
    </w:p>
    <w:p>
      <w:pPr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Алтайского района</w:t>
      </w:r>
      <w:r/>
    </w:p>
    <w:p>
      <w:pPr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за 2022 год</w:t>
      </w:r>
      <w:r/>
    </w:p>
    <w:p>
      <w:pPr>
        <w:jc w:val="both"/>
      </w:pPr>
      <w:r/>
      <w:r/>
    </w:p>
    <w:p>
      <w:pPr>
        <w:ind w:firstLine="708"/>
        <w:shd w:val="clear" w:fill="FFFFFF" w:color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  <w:r/>
    </w:p>
    <w:p>
      <w:pPr>
        <w:ind w:firstLine="708"/>
        <w:jc w:val="both"/>
        <w:spacing w:lineRule="auto" w:line="360"/>
        <w:shd w:val="clear" w:fill="FFFFFF" w:color="FFFFFF"/>
        <w:rPr>
          <w:sz w:val="28"/>
          <w:highlight w:val="none"/>
        </w:rPr>
      </w:pPr>
      <w:r>
        <w:rPr>
          <w:rFonts w:eastAsia="Times New Roman"/>
          <w:color w:val="000000"/>
          <w:sz w:val="28"/>
          <w:lang w:eastAsia="ru-RU"/>
        </w:rPr>
        <w:t xml:space="preserve">Анализ состояния</w:t>
      </w:r>
      <w:r>
        <w:rPr>
          <w:rFonts w:eastAsia="Times New Roman"/>
          <w:color w:val="000000"/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>
        <w:rPr>
          <w:sz w:val="28"/>
          <w:lang w:eastAsia="ru-RU"/>
        </w:rPr>
        <w:t xml:space="preserve">Алтайского района Алтайского края подготовлен в соответствии со статьей 11 Федерального закона от 24.07.2007 № 209-ФЗ</w:t>
      </w:r>
      <w:r>
        <w:rPr>
          <w:rFonts w:eastAsia="Times New Roman"/>
          <w:color w:val="000000"/>
          <w:sz w:val="28"/>
          <w:lang w:eastAsia="ru-RU"/>
        </w:rPr>
        <w:t xml:space="preserve"> «</w:t>
      </w:r>
      <w:r>
        <w:rPr>
          <w:sz w:val="28"/>
          <w:lang w:eastAsia="ru-RU"/>
        </w:rPr>
        <w:t xml:space="preserve">О развитии малого и среднего предпринимательства в Российской Федерации».</w:t>
      </w:r>
      <w:r>
        <w:rPr>
          <w:sz w:val="28"/>
        </w:rPr>
      </w:r>
      <w:r/>
    </w:p>
    <w:p>
      <w:pPr>
        <w:ind w:left="0" w:right="0" w:firstLine="0"/>
        <w:jc w:val="both"/>
        <w:spacing w:lineRule="auto" w:line="360" w:after="0" w:before="240"/>
        <w:tabs>
          <w:tab w:val="left" w:pos="7441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 12 месяцев 2022 года вновь зарегистрировано - 103 субъекта, из них 18 юридических лиц и 85 индивидуальных предпринимателей (103 микропредприятия). Основная деятельность которых,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преимущественно,  розничная торговля,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общественное питание, услуги по проживанию и другие. </w:t>
      </w:r>
      <w:r>
        <w:rPr>
          <w:highlight w:val="none"/>
        </w:rPr>
      </w:r>
      <w:r/>
    </w:p>
    <w:p>
      <w:pPr>
        <w:ind w:left="0" w:right="0" w:firstLine="0"/>
        <w:jc w:val="both"/>
        <w:spacing w:lineRule="auto" w:line="360" w:after="0" w:before="240"/>
        <w:tabs>
          <w:tab w:val="left" w:pos="7441" w:leader="none"/>
        </w:tabs>
        <w:rPr>
          <w:highlight w:val="yellow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39165" cy="317182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5839164" cy="3171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9.8pt;height:249.8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lineRule="atLeast" w:line="65" w:after="0" w:before="240"/>
        <w:tabs>
          <w:tab w:val="left" w:pos="7441" w:leader="none"/>
        </w:tabs>
        <w:rPr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4"/>
        </w:rPr>
      </w:r>
      <w:r>
        <w:rPr>
          <w:sz w:val="24"/>
        </w:rPr>
      </w:r>
      <w:r/>
    </w:p>
    <w:p>
      <w:pPr>
        <w:ind w:left="0" w:right="0" w:firstLine="0"/>
        <w:jc w:val="both"/>
        <w:spacing w:lineRule="atLeast" w:line="65" w:after="0" w:before="24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lineRule="atLeast" w:line="65" w:after="0" w:before="24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jc w:val="both"/>
        <w:spacing w:after="0" w:before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Сокращение числа открытий новых ИП говорит прежде всего о том, что на фоне кризиса люди заняли выжидательную, консервативную позицию, не предполагающую риска, связанного с предпринимательской деятельностью.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ab/>
        <w:t xml:space="preserve">Наблюдается снижение покупательского спроса, рост сбережений у населения. В результате, несмотря на наличие государственных мер поддержки и активную политику по развитию предпринимательства, у бизнеса сни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жаются торговые обороты. А на территории района деятельность у субъектов  в основном в сфере торговли и услуги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708"/>
        <w:jc w:val="both"/>
        <w:spacing w:lineRule="atLeast" w:line="65" w:after="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 территории Алтайского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района, по состоянию на 10 января 2023 года, согласно Единого реестра субъектов малого и среднего предпринимательства, осуществляют деятельность 619 субъектов (179 юр.лица и 440 индивидуальных предпринимателя).</w:t>
      </w:r>
      <w:r>
        <w:rPr>
          <w:rFonts w:eastAsia="Times New Roman"/>
          <w:color w:val="000000"/>
          <w:lang w:eastAsia="ru-RU"/>
        </w:rPr>
      </w:r>
      <w:r/>
    </w:p>
    <w:p>
      <w:pPr>
        <w:ind w:firstLine="708"/>
        <w:jc w:val="both"/>
        <w:shd w:val="clear" w:fill="FFFFFF" w:color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591175" cy="3133725"/>
                <wp:effectExtent l="0" t="0" r="0" b="0"/>
                <wp:docPr id="2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591174" cy="3133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40.2pt;height:246.8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eastAsia="Times New Roman"/>
          <w:color w:val="000000"/>
          <w:lang w:eastAsia="ru-RU"/>
        </w:rPr>
      </w:r>
      <w:r/>
    </w:p>
    <w:p>
      <w:pPr>
        <w:ind w:firstLine="708"/>
        <w:jc w:val="both"/>
        <w:shd w:val="clear" w:fill="FFFFFF" w:color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  <w:r>
        <w:rPr>
          <w:rFonts w:eastAsia="Times New Roman"/>
          <w:color w:val="000000"/>
          <w:lang w:eastAsia="ru-RU"/>
        </w:rPr>
      </w:r>
      <w:r/>
    </w:p>
    <w:p>
      <w:pPr>
        <w:ind w:firstLine="708"/>
        <w:jc w:val="both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В сравнении с прош</w:t>
      </w:r>
      <w:r>
        <w:rPr>
          <w:rFonts w:ascii="Times New Roman" w:hAnsi="Times New Roman" w:cs="Times New Roman" w:eastAsia="Times New Roman"/>
          <w:color w:val="000000"/>
          <w:sz w:val="28"/>
          <w:lang w:eastAsia="ru-RU"/>
        </w:rPr>
        <w:t xml:space="preserve">лым годом наблюдается снижение количества субъектов. «Закрывшиеся» - это субъекты сферы бытового обслуживания, которые перешли в статус «самозанятых» граждан.  Мероприятия по частичной мобилизации не отразились на сфере предпринимательства в нашем районе. </w:t>
      </w:r>
      <w:r/>
    </w:p>
    <w:p>
      <w:pPr>
        <w:ind w:firstLine="0"/>
        <w:jc w:val="both"/>
        <w:tabs>
          <w:tab w:val="left" w:pos="1134" w:leader="none"/>
        </w:tabs>
      </w:pPr>
      <w:r/>
      <w:r/>
    </w:p>
    <w:p>
      <w:pPr>
        <w:ind w:firstLine="0"/>
        <w:jc w:val="both"/>
        <w:tabs>
          <w:tab w:val="left" w:pos="1134" w:leader="none"/>
        </w:tabs>
      </w:pPr>
      <w:r>
        <w:t xml:space="preserve">Динамика изменения количества зарегистрированных на территории Муниципального образования Алтайский района субъектов малого предпринимательства в разрезе категорий</w:t>
      </w:r>
      <w:r>
        <w:t xml:space="preserve"> приведена в Таблице 1.</w:t>
      </w:r>
      <w:r/>
    </w:p>
    <w:p>
      <w:pPr>
        <w:jc w:val="right"/>
        <w:tabs>
          <w:tab w:val="left" w:pos="0" w:leader="none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Таблица 1</w:t>
      </w:r>
      <w:r/>
    </w:p>
    <w:tbl>
      <w:tblPr>
        <w:tblStyle w:val="648"/>
        <w:tblW w:w="0" w:type="auto"/>
        <w:tblLook w:val="04A0" w:firstRow="1" w:lastRow="0" w:firstColumn="1" w:lastColumn="0" w:noHBand="0" w:noVBand="1"/>
      </w:tblPr>
      <w:tblGrid>
        <w:gridCol w:w="595"/>
        <w:gridCol w:w="3165"/>
        <w:gridCol w:w="979"/>
        <w:gridCol w:w="979"/>
        <w:gridCol w:w="1143"/>
        <w:gridCol w:w="1143"/>
        <w:gridCol w:w="1143"/>
      </w:tblGrid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 xml:space="preserve">п</w:t>
            </w:r>
            <w:r>
              <w:rPr>
                <w:b/>
              </w:rPr>
              <w:t xml:space="preserve">/</w:t>
            </w:r>
            <w:r>
              <w:rPr>
                <w:b/>
              </w:rPr>
              <w:t xml:space="preserve">п</w:t>
            </w:r>
            <w:r/>
          </w:p>
        </w:tc>
        <w:tc>
          <w:tcPr>
            <w:tcW w:w="316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b/>
              </w:rPr>
            </w:pPr>
            <w:r>
              <w:rPr>
                <w:b/>
              </w:rPr>
              <w:t xml:space="preserve">Вид субъекта предпринимательства</w:t>
            </w:r>
            <w:r/>
          </w:p>
        </w:tc>
        <w:tc>
          <w:tcPr>
            <w:tcW w:w="97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2018</w:t>
            </w:r>
            <w:r>
              <w:rPr>
                <w:b/>
              </w:rPr>
            </w:r>
            <w:r/>
          </w:p>
        </w:tc>
        <w:tc>
          <w:tcPr>
            <w:tcW w:w="97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2019</w:t>
            </w:r>
            <w:r>
              <w:rPr>
                <w:b/>
              </w:rPr>
            </w:r>
            <w:r/>
          </w:p>
        </w:tc>
        <w:tc>
          <w:tcPr>
            <w:tcW w:w="114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2020</w:t>
            </w:r>
            <w:r>
              <w:rPr>
                <w:b/>
              </w:rPr>
            </w:r>
            <w:r/>
          </w:p>
        </w:tc>
        <w:tc>
          <w:tcPr>
            <w:tcW w:w="114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2021</w:t>
            </w:r>
            <w:r>
              <w:rPr>
                <w:b/>
              </w:rPr>
            </w:r>
            <w:r/>
          </w:p>
        </w:tc>
        <w:tc>
          <w:tcPr>
            <w:tcW w:w="1143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2022</w:t>
            </w:r>
            <w:r>
              <w:rPr>
                <w:b/>
              </w:rPr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</w:pPr>
            <w:r>
              <w:t xml:space="preserve">1</w:t>
            </w:r>
            <w:r/>
          </w:p>
        </w:tc>
        <w:tc>
          <w:tcPr>
            <w:tcW w:w="316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</w:pPr>
            <w:r>
              <w:t xml:space="preserve">Микро предприятие</w:t>
            </w:r>
            <w:r/>
          </w:p>
        </w:tc>
        <w:tc>
          <w:tcPr>
            <w:tcW w:w="979" w:type="dxa"/>
            <w:textDirection w:val="lrTb"/>
            <w:noWrap w:val="false"/>
          </w:tcPr>
          <w:p>
            <w:pPr>
              <w:jc w:val="center"/>
            </w:pPr>
            <w:r>
              <w:t xml:space="preserve">614</w:t>
            </w:r>
            <w:r/>
          </w:p>
        </w:tc>
        <w:tc>
          <w:tcPr>
            <w:tcW w:w="979" w:type="dxa"/>
            <w:textDirection w:val="lrTb"/>
            <w:noWrap w:val="false"/>
          </w:tcPr>
          <w:p>
            <w:pPr>
              <w:jc w:val="center"/>
            </w:pPr>
            <w:r>
              <w:t xml:space="preserve">581</w:t>
            </w:r>
            <w:r/>
          </w:p>
        </w:tc>
        <w:tc>
          <w:tcPr>
            <w:tcW w:w="1143" w:type="dxa"/>
            <w:textDirection w:val="lrTb"/>
            <w:noWrap w:val="false"/>
          </w:tcPr>
          <w:p>
            <w:pPr>
              <w:jc w:val="center"/>
            </w:pPr>
            <w:r>
              <w:t xml:space="preserve">573</w:t>
            </w:r>
            <w:r/>
          </w:p>
        </w:tc>
        <w:tc>
          <w:tcPr>
            <w:tcW w:w="1143" w:type="dxa"/>
            <w:textDirection w:val="lrTb"/>
            <w:noWrap w:val="false"/>
          </w:tcPr>
          <w:p>
            <w:pPr>
              <w:jc w:val="center"/>
            </w:pPr>
            <w:r>
              <w:t xml:space="preserve">606</w:t>
            </w:r>
            <w:r/>
          </w:p>
        </w:tc>
        <w:tc>
          <w:tcPr>
            <w:tcW w:w="1143" w:type="dxa"/>
            <w:textDirection w:val="lrTb"/>
            <w:noWrap w:val="false"/>
          </w:tcPr>
          <w:p>
            <w:pPr>
              <w:jc w:val="center"/>
            </w:pPr>
            <w:r>
              <w:t xml:space="preserve">597</w:t>
            </w:r>
            <w:r/>
          </w:p>
        </w:tc>
      </w:tr>
      <w:tr>
        <w:trPr>
          <w:trHeight w:val="320"/>
        </w:trPr>
        <w:tc>
          <w:tcPr>
            <w:tcW w:w="59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</w:pPr>
            <w:r>
              <w:t xml:space="preserve">2</w:t>
            </w:r>
            <w:r/>
          </w:p>
        </w:tc>
        <w:tc>
          <w:tcPr>
            <w:tcW w:w="316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</w:pPr>
            <w:r>
              <w:t xml:space="preserve">Малое предприятие</w:t>
            </w:r>
            <w:r/>
          </w:p>
        </w:tc>
        <w:tc>
          <w:tcPr>
            <w:tcW w:w="979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tcW w:w="979" w:type="dxa"/>
            <w:textDirection w:val="lrTb"/>
            <w:noWrap w:val="false"/>
          </w:tcPr>
          <w:p>
            <w:pPr>
              <w:jc w:val="center"/>
            </w:pPr>
            <w:r>
              <w:t xml:space="preserve">18</w:t>
            </w:r>
            <w:r/>
          </w:p>
        </w:tc>
        <w:tc>
          <w:tcPr>
            <w:tcW w:w="1143" w:type="dxa"/>
            <w:textDirection w:val="lrTb"/>
            <w:noWrap w:val="false"/>
          </w:tcPr>
          <w:p>
            <w:pPr>
              <w:jc w:val="center"/>
            </w:pPr>
            <w:r>
              <w:t xml:space="preserve">20</w:t>
            </w:r>
            <w:r/>
          </w:p>
        </w:tc>
        <w:tc>
          <w:tcPr>
            <w:tcW w:w="1143" w:type="dxa"/>
            <w:textDirection w:val="lrTb"/>
            <w:noWrap w:val="false"/>
          </w:tcPr>
          <w:p>
            <w:pPr>
              <w:jc w:val="center"/>
            </w:pPr>
            <w:r>
              <w:t xml:space="preserve">18</w:t>
            </w:r>
            <w:r/>
          </w:p>
        </w:tc>
        <w:tc>
          <w:tcPr>
            <w:tcW w:w="1143" w:type="dxa"/>
            <w:textDirection w:val="lrTb"/>
            <w:noWrap w:val="false"/>
          </w:tcPr>
          <w:p>
            <w:pPr>
              <w:jc w:val="center"/>
            </w:pPr>
            <w:r>
              <w:t xml:space="preserve">18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</w:pPr>
            <w:r>
              <w:t xml:space="preserve">3</w:t>
            </w:r>
            <w:r/>
          </w:p>
        </w:tc>
        <w:tc>
          <w:tcPr>
            <w:tcW w:w="316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</w:pPr>
            <w:r>
              <w:t xml:space="preserve">Среднее предприятие</w:t>
            </w:r>
            <w:r/>
          </w:p>
        </w:tc>
        <w:tc>
          <w:tcPr>
            <w:tcW w:w="979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W w:w="979" w:type="dxa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W w:w="1143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1143" w:type="dxa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W w:w="1143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</w:tr>
      <w:tr>
        <w:trPr/>
        <w:tc>
          <w:tcPr>
            <w:tcW w:w="59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</w:pPr>
            <w:r/>
            <w:r/>
          </w:p>
        </w:tc>
        <w:tc>
          <w:tcPr>
            <w:tcW w:w="3165" w:type="dxa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b/>
              </w:rPr>
            </w:pPr>
            <w:r>
              <w:rPr>
                <w:b/>
              </w:rPr>
              <w:t xml:space="preserve">Всего</w:t>
            </w:r>
            <w:r/>
          </w:p>
        </w:tc>
        <w:tc>
          <w:tcPr>
            <w:tcW w:w="979" w:type="dxa"/>
            <w:textDirection w:val="lrTb"/>
            <w:noWrap w:val="false"/>
          </w:tcPr>
          <w:p>
            <w:pPr>
              <w:jc w:val="center"/>
            </w:pPr>
            <w:r>
              <w:t xml:space="preserve">638</w:t>
            </w:r>
            <w:r/>
          </w:p>
        </w:tc>
        <w:tc>
          <w:tcPr>
            <w:tcW w:w="979" w:type="dxa"/>
            <w:textDirection w:val="lrTb"/>
            <w:noWrap w:val="false"/>
          </w:tcPr>
          <w:p>
            <w:pPr>
              <w:jc w:val="center"/>
            </w:pPr>
            <w:r>
              <w:t xml:space="preserve">604</w:t>
            </w:r>
            <w:r/>
          </w:p>
        </w:tc>
        <w:tc>
          <w:tcPr>
            <w:tcW w:w="1143" w:type="dxa"/>
            <w:textDirection w:val="lrTb"/>
            <w:noWrap w:val="false"/>
          </w:tcPr>
          <w:p>
            <w:pPr>
              <w:jc w:val="center"/>
            </w:pPr>
            <w:r>
              <w:t xml:space="preserve">596</w:t>
            </w:r>
            <w:r/>
          </w:p>
        </w:tc>
        <w:tc>
          <w:tcPr>
            <w:tcW w:w="1143" w:type="dxa"/>
            <w:textDirection w:val="lrTb"/>
            <w:noWrap w:val="false"/>
          </w:tcPr>
          <w:p>
            <w:pPr>
              <w:jc w:val="center"/>
            </w:pPr>
            <w:r>
              <w:t xml:space="preserve">627</w:t>
            </w:r>
            <w:r/>
          </w:p>
        </w:tc>
        <w:tc>
          <w:tcPr>
            <w:tcW w:w="1143" w:type="dxa"/>
            <w:textDirection w:val="lrTb"/>
            <w:noWrap w:val="false"/>
          </w:tcPr>
          <w:p>
            <w:pPr>
              <w:jc w:val="center"/>
            </w:pPr>
            <w:r>
              <w:t xml:space="preserve">619</w:t>
            </w:r>
            <w:r/>
          </w:p>
        </w:tc>
      </w:tr>
    </w:tbl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/>
    </w:p>
    <w:p>
      <w:pPr>
        <w:ind w:firstLine="0"/>
        <w:jc w:val="left"/>
        <w:rPr>
          <w:b/>
          <w:lang w:eastAsia="ru-RU"/>
        </w:rPr>
      </w:pPr>
      <w:r>
        <w:rPr>
          <w:b/>
          <w:lang w:eastAsia="ru-RU"/>
        </w:rPr>
      </w:r>
      <w:r/>
    </w:p>
    <w:p>
      <w:pPr>
        <w:ind w:firstLine="708"/>
        <w:jc w:val="center"/>
        <w:rPr>
          <w:b/>
          <w:highlight w:val="none"/>
          <w:lang w:eastAsia="ru-RU"/>
        </w:rPr>
      </w:pPr>
      <w:r>
        <w:rPr>
          <w:b/>
          <w:lang w:eastAsia="ru-RU"/>
        </w:rPr>
        <w:t xml:space="preserve">Сведения об индикаторах муниципальной программы «Поддержка и развитие малого и среднего предпринимательства в Алтайском районе</w:t>
      </w:r>
      <w:r>
        <w:rPr>
          <w:b/>
        </w:rPr>
      </w:r>
      <w:r/>
    </w:p>
    <w:tbl>
      <w:tblPr>
        <w:tblStyle w:val="64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399"/>
        <w:gridCol w:w="1202"/>
        <w:gridCol w:w="806"/>
        <w:gridCol w:w="1010"/>
        <w:gridCol w:w="789"/>
        <w:gridCol w:w="709"/>
        <w:gridCol w:w="709"/>
        <w:gridCol w:w="709"/>
        <w:gridCol w:w="936"/>
        <w:gridCol w:w="113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57" w:type="dxa"/>
              <w:right w:w="0" w:type="dxa"/>
              <w:bottom w:w="57" w:type="dxa"/>
            </w:tcMar>
            <w:tcW w:w="513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Liberation Serif" w:hAnsi="Liberation Serif" w:cs="Liberation Serif" w:eastAsia="Liberation Serif"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57" w:type="dxa"/>
              <w:right w:w="0" w:type="dxa"/>
              <w:bottom w:w="57" w:type="dxa"/>
            </w:tcMar>
            <w:tcW w:w="2399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Наименование индикатора (показателя)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57" w:type="dxa"/>
              <w:right w:w="0" w:type="dxa"/>
              <w:bottom w:w="57" w:type="dxa"/>
            </w:tcMar>
            <w:tcW w:w="1202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Единица измерения</w:t>
            </w:r>
            <w:r/>
          </w:p>
        </w:tc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56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Значение по годам</w:t>
            </w:r>
            <w:r/>
          </w:p>
        </w:tc>
        <w:tc>
          <w:tcPr>
            <w:tcBorders>
              <w:left w:val="single" w:color="000000" w:sz="4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1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806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2019 (факт)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1010" w:type="dxa"/>
            <w:vAlign w:val="top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rPr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white"/>
              </w:rPr>
              <w:t xml:space="preserve">2020 (факт)</w:t>
            </w:r>
            <w:r>
              <w:rPr>
                <w:highlight w:val="white"/>
              </w:rPr>
            </w:r>
            <w:r/>
          </w:p>
        </w:tc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57" w:type="dxa"/>
              <w:bottom w:w="57" w:type="dxa"/>
            </w:tcMar>
            <w:tcW w:w="38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Годы реализации программы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57" w:type="dxa"/>
              <w:top w:w="0" w:type="dxa"/>
              <w:right w:w="57" w:type="dxa"/>
              <w:bottom w:w="57" w:type="dxa"/>
            </w:tcMar>
            <w:tcW w:w="11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2021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2022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2023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2024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57" w:type="dxa"/>
              <w:top w:w="0" w:type="dxa"/>
              <w:right w:w="57" w:type="dxa"/>
              <w:bottom w:w="57" w:type="dxa"/>
            </w:tcMar>
            <w:tcW w:w="9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2025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57" w:type="dxa"/>
              <w:top w:w="0" w:type="dxa"/>
              <w:right w:w="57" w:type="dxa"/>
              <w:bottom w:w="57" w:type="dxa"/>
            </w:tcMar>
            <w:tcW w:w="11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/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51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239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17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Численность СМСП(согласно Единого реестра субъектов малого и среднего предпринимательства), зарегистрированных на территории Алтайского района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12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чел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8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516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101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rPr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</w:rPr>
              <w:t xml:space="preserve">596</w:t>
            </w:r>
            <w:r>
              <w:rPr>
                <w:highlight w:val="white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88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627</w:t>
            </w:r>
            <w:r/>
          </w:p>
        </w:tc>
        <w:tc>
          <w:tcPr>
            <w:tcBorders>
              <w:left w:val="single" w:color="000000" w:sz="4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619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57" w:type="dxa"/>
              <w:top w:w="0" w:type="dxa"/>
              <w:right w:w="57" w:type="dxa"/>
              <w:bottom w:w="57" w:type="dxa"/>
            </w:tcMar>
            <w:tcW w:w="936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57" w:type="dxa"/>
              <w:top w:w="0" w:type="dxa"/>
              <w:right w:w="57" w:type="dxa"/>
              <w:bottom w:w="57" w:type="dxa"/>
            </w:tcMar>
            <w:tcW w:w="113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51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239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17" w:after="0" w:before="0" w:beforeAutospacing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Количество вновь</w:t>
            </w:r>
            <w:r/>
          </w:p>
          <w:p>
            <w:pPr>
              <w:ind w:left="0" w:right="0" w:firstLine="0"/>
              <w:spacing w:lineRule="atLeast" w:line="17" w:after="0" w:before="0" w:beforeAutospacing="0"/>
              <w:shd w:val="clear" w:fill="FFFFFF" w:color="FFFFFF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зарегистрированных СМСП в Алтайском районе( согласно Единого реестра СМСП)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12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чел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8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60</w:t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101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rPr>
                <w:sz w:val="22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</w:rPr>
              <w:t xml:space="preserve">115</w:t>
            </w:r>
            <w:r>
              <w:rPr>
                <w:sz w:val="22"/>
                <w:highlight w:val="whit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88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122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103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57" w:type="dxa"/>
              <w:top w:w="0" w:type="dxa"/>
              <w:right w:w="57" w:type="dxa"/>
              <w:bottom w:w="57" w:type="dxa"/>
            </w:tcMar>
            <w:tcW w:w="936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57" w:type="dxa"/>
              <w:top w:w="0" w:type="dxa"/>
              <w:right w:w="57" w:type="dxa"/>
              <w:bottom w:w="57" w:type="dxa"/>
            </w:tcMar>
            <w:tcW w:w="113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513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239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17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Оказание информационно-консультационных услуг (с нарастающим итогом)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12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ед.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8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300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101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rPr>
                <w:sz w:val="22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  <w:highlight w:val="none"/>
              </w:rPr>
              <w:t xml:space="preserve">322</w:t>
            </w:r>
            <w:r>
              <w:rPr>
                <w:sz w:val="22"/>
                <w:highlight w:val="white"/>
              </w:rPr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88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125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419</w:t>
            </w:r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0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57" w:type="dxa"/>
              <w:top w:w="0" w:type="dxa"/>
              <w:right w:w="57" w:type="dxa"/>
              <w:bottom w:w="57" w:type="dxa"/>
            </w:tcMar>
            <w:tcW w:w="936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none" w:color="000000" w:sz="4" w:space="0"/>
              <w:right w:val="single" w:color="000000" w:sz="6" w:space="0"/>
              <w:bottom w:val="single" w:color="000000" w:sz="6" w:space="0"/>
            </w:tcBorders>
            <w:tcMar>
              <w:left w:w="57" w:type="dxa"/>
              <w:top w:w="0" w:type="dxa"/>
              <w:right w:w="57" w:type="dxa"/>
              <w:bottom w:w="57" w:type="dxa"/>
            </w:tcMar>
            <w:tcW w:w="113" w:type="dxa"/>
            <w:vAlign w:val="top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57" w:type="dxa"/>
              <w:right w:w="0" w:type="dxa"/>
              <w:bottom w:w="57" w:type="dxa"/>
            </w:tcMar>
            <w:tcW w:w="513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57" w:type="dxa"/>
              <w:right w:w="0" w:type="dxa"/>
              <w:bottom w:w="57" w:type="dxa"/>
            </w:tcMar>
            <w:tcW w:w="2399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tLeast" w:line="17" w:after="0" w:before="0" w:beforeAutospacing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Обеспеченность сельскохозяйственных организаций руководителями и специалистами всех уровней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57" w:type="dxa"/>
              <w:right w:w="0" w:type="dxa"/>
              <w:bottom w:w="57" w:type="dxa"/>
            </w:tcMar>
            <w:tcW w:w="1202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%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57" w:type="dxa"/>
              <w:right w:w="0" w:type="dxa"/>
              <w:bottom w:w="57" w:type="dxa"/>
            </w:tcMar>
            <w:tcW w:w="80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95,3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57" w:type="dxa"/>
              <w:right w:w="0" w:type="dxa"/>
              <w:bottom w:w="57" w:type="dxa"/>
            </w:tcMar>
            <w:tcW w:w="101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76" w:after="0" w:before="240"/>
              <w:rPr>
                <w:sz w:val="22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2"/>
                <w:highlight w:val="none"/>
              </w:rPr>
              <w:t xml:space="preserve">92</w:t>
            </w:r>
            <w:r>
              <w:rPr>
                <w:sz w:val="22"/>
                <w:highlight w:val="whit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57" w:type="dxa"/>
              <w:right w:w="0" w:type="dxa"/>
              <w:bottom w:w="57" w:type="dxa"/>
            </w:tcMar>
            <w:tcW w:w="78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tLeast" w:line="288" w:after="0" w:before="24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87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57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87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57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57" w:type="dxa"/>
              <w:top w:w="57" w:type="dxa"/>
              <w:right w:w="0" w:type="dxa"/>
              <w:bottom w:w="57" w:type="dxa"/>
            </w:tcMar>
            <w:tcW w:w="70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57" w:type="dxa"/>
              <w:top w:w="57" w:type="dxa"/>
              <w:right w:w="57" w:type="dxa"/>
              <w:bottom w:w="57" w:type="dxa"/>
            </w:tcMar>
            <w:tcW w:w="1050" w:type="dxa"/>
            <w:vAlign w:val="top"/>
            <w:textDirection w:val="lrTb"/>
            <w:noWrap w:val="false"/>
          </w:tcPr>
          <w:p>
            <w:r/>
            <w:r/>
          </w:p>
        </w:tc>
      </w:tr>
    </w:tbl>
    <w:p>
      <w:pPr>
        <w:ind w:firstLine="708"/>
        <w:jc w:val="center"/>
        <w:rPr>
          <w:b/>
          <w:highlight w:val="none"/>
        </w:rPr>
      </w:pPr>
      <w:r>
        <w:rPr>
          <w:b/>
          <w:highlight w:val="none"/>
          <w:lang w:eastAsia="ru-RU"/>
        </w:rPr>
      </w:r>
      <w:r>
        <w:rPr>
          <w:b/>
          <w:highlight w:val="none"/>
          <w:lang w:eastAsia="ru-RU"/>
        </w:rPr>
      </w:r>
      <w:r/>
    </w:p>
    <w:p>
      <w:pPr>
        <w:ind w:firstLine="708"/>
        <w:jc w:val="center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p>
      <w:pPr>
        <w:ind w:firstLine="708"/>
        <w:jc w:val="center"/>
        <w:rPr>
          <w:b/>
          <w:highlight w:val="none"/>
        </w:rPr>
      </w:pPr>
      <w:r>
        <w:rPr>
          <w:b/>
          <w:highlight w:val="none"/>
        </w:rPr>
        <w:t xml:space="preserve">Основные показатели, характеризующие  дислокацию организаций розничной торговли и общественного питания</w:t>
      </w:r>
      <w:r>
        <w:rPr>
          <w:b/>
          <w:highlight w:val="none"/>
        </w:rPr>
      </w:r>
      <w:r/>
    </w:p>
    <w:tbl>
      <w:tblPr>
        <w:tblStyle w:val="648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693"/>
        <w:gridCol w:w="939"/>
        <w:gridCol w:w="1166"/>
        <w:gridCol w:w="1166"/>
        <w:gridCol w:w="775"/>
        <w:gridCol w:w="992"/>
        <w:gridCol w:w="992"/>
      </w:tblGrid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№ п/п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Наименование </w:t>
            </w:r>
            <w:r>
              <w:rPr>
                <w:b/>
                <w:highlight w:val="none"/>
              </w:rPr>
            </w:r>
            <w:r/>
          </w:p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показателя</w:t>
            </w:r>
            <w:r/>
          </w:p>
        </w:tc>
        <w:tc>
          <w:tcPr>
            <w:tcW w:w="939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ед.изм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2018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2019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775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2020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2021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2022</w:t>
            </w:r>
            <w:r>
              <w:rPr>
                <w:b/>
                <w:highlight w:val="none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1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tabs>
                <w:tab w:val="right" w:pos="2219" w:leader="none"/>
              </w:tabs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Количество действующих магазинов, всего</w:t>
            </w:r>
            <w:r>
              <w:rPr>
                <w:b/>
                <w:highlight w:val="none"/>
              </w:rPr>
              <w:t xml:space="preserve">: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230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232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272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262</w:t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255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в том числе</w:t>
            </w:r>
            <w:r>
              <w:rPr>
                <w:b w:val="fals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продовольственных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16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15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20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30</w:t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26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>
          <w:trHeight w:val="371"/>
        </w:trPr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непродовольственных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101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102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136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121</w:t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119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смешанных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113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115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116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111</w:t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110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2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Обеспеченность населения площадью стационарных торговых объектов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кв.м. на 1000 человек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698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699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681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822</w:t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826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3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Обеспеченность населения нестационарными торговыми объектами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кв.м. на 10000 человек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6,6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6,9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4,63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8,03</w:t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15,64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4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Ввод новых объектов розничной торговли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17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16</w:t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13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5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Общедоступная сеть предприятий общественного питания: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39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17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27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26</w:t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30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в том числе</w:t>
            </w:r>
            <w:r>
              <w:rPr>
                <w:b w:val="fals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рестораны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3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-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</w:t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кафе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19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7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5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5</w:t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5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бары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</w:t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10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закусочные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7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7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7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7</w:t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7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столовые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0</w:t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0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иные пункты питания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0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r>
              <w:t xml:space="preserve">4</w:t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6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Количество посадочных мест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1992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</w:rPr>
            </w:pPr>
            <w:r>
              <w:rPr>
                <w:b w:val="false"/>
              </w:rPr>
              <w:t xml:space="preserve">431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1299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918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1127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7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highlight w:val="none"/>
              </w:rPr>
            </w:pPr>
            <w:r>
              <w:rPr>
                <w:b/>
                <w:highlight w:val="none"/>
              </w:rPr>
              <w:t xml:space="preserve">Ввод новых объектов общественного питания/кол-во мест</w:t>
            </w:r>
            <w:r/>
          </w:p>
        </w:tc>
        <w:tc>
          <w:tcPr>
            <w:tcW w:w="939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ед.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5/234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-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7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5/62</w:t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4/19</w:t>
            </w:r>
            <w:r>
              <w:rPr>
                <w:b w:val="false"/>
                <w:highlight w:val="none"/>
              </w:rPr>
            </w:r>
            <w:r/>
          </w:p>
        </w:tc>
      </w:tr>
      <w:tr>
        <w:trPr/>
        <w:tc>
          <w:tcPr>
            <w:tcW w:w="53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8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highlight w:val="none"/>
              </w:rPr>
            </w:pPr>
            <w:r>
              <w:rPr>
                <w:b/>
                <w:highlight w:val="none"/>
              </w:rPr>
              <w:t xml:space="preserve">Количество объектов бытового обслуживания</w:t>
            </w:r>
            <w:r>
              <w:rPr>
                <w:b/>
                <w:highlight w:val="none"/>
              </w:rPr>
            </w:r>
            <w:r/>
          </w:p>
        </w:tc>
        <w:tc>
          <w:tcPr>
            <w:tcW w:w="939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ед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44</w:t>
            </w:r>
            <w:r>
              <w:rPr>
                <w:b w:val="false"/>
              </w:rPr>
            </w:r>
            <w:r/>
          </w:p>
        </w:tc>
        <w:tc>
          <w:tcPr>
            <w:tcW w:w="1166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42</w:t>
            </w:r>
            <w:r>
              <w:rPr>
                <w:b w:val="false"/>
              </w:rPr>
            </w:r>
            <w:r/>
          </w:p>
        </w:tc>
        <w:tc>
          <w:tcPr>
            <w:tcW w:w="775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74</w:t>
            </w:r>
            <w:r>
              <w:rPr>
                <w:b w:val="fals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75</w:t>
            </w:r>
            <w:r>
              <w:rPr>
                <w:b w:val="false"/>
                <w:highlight w:val="none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b w:val="false"/>
                <w:highlight w:val="none"/>
              </w:rPr>
            </w:pPr>
            <w:r>
              <w:rPr>
                <w:b w:val="false"/>
                <w:highlight w:val="none"/>
              </w:rPr>
              <w:t xml:space="preserve">66</w:t>
            </w:r>
            <w:r>
              <w:rPr>
                <w:b w:val="false"/>
                <w:highlight w:val="none"/>
              </w:rPr>
            </w:r>
            <w:r/>
          </w:p>
        </w:tc>
      </w:tr>
    </w:tbl>
    <w:p>
      <w:pPr>
        <w:ind w:firstLine="0"/>
        <w:jc w:val="both"/>
        <w:spacing w:lineRule="auto" w:line="276"/>
        <w:tabs>
          <w:tab w:val="right" w:pos="9780" w:leader="none"/>
        </w:tabs>
        <w:rPr>
          <w:sz w:val="28"/>
          <w:highlight w:val="none"/>
        </w:rPr>
      </w:pPr>
      <w:r>
        <w:rPr>
          <w:sz w:val="28"/>
          <w:lang w:eastAsia="ru-RU"/>
        </w:rPr>
        <w:t xml:space="preserve">  Конкурсных отборов</w:t>
      </w:r>
      <w:r>
        <w:rPr>
          <w:rFonts w:ascii="Times New Roman" w:hAnsi="Times New Roman"/>
          <w:sz w:val="28"/>
          <w:szCs w:val="24"/>
          <w:shd w:val="clear" w:fill="FFFFFF" w:color="FFFFFF"/>
        </w:rPr>
        <w:t xml:space="preserve"> на получение грантов начинающим субъектам малого и среднего предпринимательства с 2017 </w:t>
      </w:r>
      <w:r>
        <w:rPr>
          <w:rFonts w:ascii="Times New Roman" w:hAnsi="Times New Roman"/>
          <w:sz w:val="28"/>
          <w:szCs w:val="24"/>
          <w:shd w:val="clear" w:fill="FFFFFF" w:color="FFFFFF"/>
        </w:rPr>
        <w:t xml:space="preserve">года не проводилось.</w:t>
      </w:r>
      <w:r>
        <w:rPr>
          <w:sz w:val="28"/>
        </w:rPr>
        <w:tab/>
      </w:r>
      <w:r>
        <w:rPr>
          <w:sz w:val="28"/>
        </w:rPr>
      </w:r>
      <w:r/>
    </w:p>
    <w:p>
      <w:pPr>
        <w:contextualSpacing w:val="false"/>
        <w:ind w:firstLine="0"/>
        <w:jc w:val="both"/>
        <w:spacing w:lineRule="auto" w:line="240"/>
        <w:rPr>
          <w:rFonts w:ascii="Times New Roman" w:hAnsi="Times New Roman"/>
          <w:sz w:val="28"/>
          <w:szCs w:val="24"/>
          <w:highlight w:val="none"/>
        </w:rPr>
        <w:suppressLineNumbers w:val="0"/>
      </w:pPr>
      <w:r>
        <w:rPr>
          <w:rFonts w:ascii="Times New Roman" w:hAnsi="Times New Roman"/>
          <w:sz w:val="28"/>
          <w:szCs w:val="24"/>
          <w:shd w:val="clear" w:fill="FFFFFF" w:color="FFFFFF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 мероприятия  муниципальной программа «Поддержка и развитие малого и среднего предпринимательства в Алтайском районе в 2022 году было направлено 258,93 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ыс.рублей.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Основные проблемы развития сферы предпринимательства на территории Алтайского района: </w:t>
      </w:r>
      <w:r/>
    </w:p>
    <w:p>
      <w:pPr>
        <w:contextualSpacing w:val="false"/>
        <w:ind w:left="-11" w:right="0" w:firstLine="0"/>
        <w:jc w:val="both"/>
        <w:spacing w:lineRule="auto" w:line="240" w:after="0" w:before="24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низкая доля предприятий производственной сферы, преобладание сферы торговли;</w:t>
      </w:r>
      <w:r/>
    </w:p>
    <w:p>
      <w:pPr>
        <w:contextualSpacing w:val="false"/>
        <w:ind w:left="-11" w:right="0" w:firstLine="0"/>
        <w:jc w:val="both"/>
        <w:spacing w:lineRule="auto" w:line="240" w:after="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- дефицит квалифицированных кадров, недостаточный уровень профессиональной подготовки;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contextualSpacing w:val="false"/>
        <w:ind w:left="-11" w:right="0" w:firstLine="0"/>
        <w:jc w:val="both"/>
        <w:spacing w:lineRule="auto" w:line="240" w:after="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низкая предп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ринимательская активность молодежи. </w:t>
      </w:r>
      <w:r>
        <w:rPr>
          <w:rFonts w:ascii="Times New Roman" w:hAnsi="Times New Roman" w:cs="Times New Roman" w:eastAsia="Times New Roman"/>
          <w:sz w:val="24"/>
        </w:rPr>
      </w:r>
      <w:r/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rPr>
          <w:lang w:eastAsia="ru-RU"/>
        </w:rPr>
      </w:pPr>
      <w:r>
        <w:rPr>
          <w:rFonts w:ascii="Times New Roman" w:hAnsi="Times New Roman"/>
          <w:sz w:val="24"/>
          <w:szCs w:val="24"/>
          <w:highlight w:val="none"/>
          <w:shd w:val="clear" w:fill="FFFFFF" w:color="FFFFFF"/>
        </w:rPr>
      </w:r>
      <w:r>
        <w:rPr>
          <w:rFonts w:ascii="Times New Roman" w:hAnsi="Times New Roman"/>
          <w:sz w:val="24"/>
          <w:szCs w:val="24"/>
          <w:highlight w:val="none"/>
          <w:shd w:val="clear" w:fill="FFFFFF" w:color="FFFFFF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/>
    </w:p>
    <w:p>
      <w:pPr>
        <w:ind w:firstLine="708"/>
        <w:jc w:val="both"/>
        <w:rPr>
          <w:lang w:eastAsia="ru-RU"/>
        </w:rPr>
      </w:pPr>
      <w:r>
        <w:rPr>
          <w:lang w:eastAsia="ru-RU"/>
        </w:rPr>
      </w:r>
      <w:r>
        <w:rPr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 CYR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Calibri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3">
    <w:name w:val="Heading 1 Char"/>
    <w:basedOn w:val="621"/>
    <w:link w:val="643"/>
    <w:uiPriority w:val="9"/>
    <w:rPr>
      <w:rFonts w:ascii="Arial" w:hAnsi="Arial" w:cs="Arial" w:eastAsia="Arial"/>
      <w:sz w:val="40"/>
      <w:szCs w:val="40"/>
    </w:rPr>
  </w:style>
  <w:style w:type="character" w:styleId="454">
    <w:name w:val="Heading 2 Char"/>
    <w:basedOn w:val="621"/>
    <w:link w:val="644"/>
    <w:uiPriority w:val="9"/>
    <w:rPr>
      <w:rFonts w:ascii="Arial" w:hAnsi="Arial" w:cs="Arial" w:eastAsia="Arial"/>
      <w:sz w:val="34"/>
    </w:rPr>
  </w:style>
  <w:style w:type="character" w:styleId="455">
    <w:name w:val="Heading 3 Char"/>
    <w:basedOn w:val="621"/>
    <w:link w:val="645"/>
    <w:uiPriority w:val="9"/>
    <w:rPr>
      <w:rFonts w:ascii="Arial" w:hAnsi="Arial" w:cs="Arial" w:eastAsia="Arial"/>
      <w:sz w:val="30"/>
      <w:szCs w:val="30"/>
    </w:rPr>
  </w:style>
  <w:style w:type="paragraph" w:styleId="456">
    <w:name w:val="Heading 4"/>
    <w:basedOn w:val="618"/>
    <w:next w:val="618"/>
    <w:link w:val="45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7">
    <w:name w:val="Heading 4 Char"/>
    <w:basedOn w:val="621"/>
    <w:link w:val="456"/>
    <w:uiPriority w:val="9"/>
    <w:rPr>
      <w:rFonts w:ascii="Arial" w:hAnsi="Arial" w:cs="Arial" w:eastAsia="Arial"/>
      <w:b/>
      <w:bCs/>
      <w:sz w:val="26"/>
      <w:szCs w:val="26"/>
    </w:rPr>
  </w:style>
  <w:style w:type="paragraph" w:styleId="458">
    <w:name w:val="Heading 5"/>
    <w:basedOn w:val="618"/>
    <w:next w:val="618"/>
    <w:link w:val="4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9">
    <w:name w:val="Heading 5 Char"/>
    <w:basedOn w:val="621"/>
    <w:link w:val="458"/>
    <w:uiPriority w:val="9"/>
    <w:rPr>
      <w:rFonts w:ascii="Arial" w:hAnsi="Arial" w:cs="Arial" w:eastAsia="Arial"/>
      <w:b/>
      <w:bCs/>
      <w:sz w:val="24"/>
      <w:szCs w:val="24"/>
    </w:rPr>
  </w:style>
  <w:style w:type="paragraph" w:styleId="460">
    <w:name w:val="Heading 6"/>
    <w:basedOn w:val="618"/>
    <w:next w:val="618"/>
    <w:link w:val="46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1">
    <w:name w:val="Heading 6 Char"/>
    <w:basedOn w:val="621"/>
    <w:link w:val="460"/>
    <w:uiPriority w:val="9"/>
    <w:rPr>
      <w:rFonts w:ascii="Arial" w:hAnsi="Arial" w:cs="Arial" w:eastAsia="Arial"/>
      <w:b/>
      <w:bCs/>
      <w:sz w:val="22"/>
      <w:szCs w:val="22"/>
    </w:rPr>
  </w:style>
  <w:style w:type="paragraph" w:styleId="462">
    <w:name w:val="Heading 7"/>
    <w:basedOn w:val="618"/>
    <w:next w:val="618"/>
    <w:link w:val="4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3">
    <w:name w:val="Heading 7 Char"/>
    <w:basedOn w:val="621"/>
    <w:link w:val="4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4">
    <w:name w:val="Heading 8"/>
    <w:basedOn w:val="618"/>
    <w:next w:val="618"/>
    <w:link w:val="46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5">
    <w:name w:val="Heading 8 Char"/>
    <w:basedOn w:val="621"/>
    <w:link w:val="464"/>
    <w:uiPriority w:val="9"/>
    <w:rPr>
      <w:rFonts w:ascii="Arial" w:hAnsi="Arial" w:cs="Arial" w:eastAsia="Arial"/>
      <w:i/>
      <w:iCs/>
      <w:sz w:val="22"/>
      <w:szCs w:val="22"/>
    </w:rPr>
  </w:style>
  <w:style w:type="paragraph" w:styleId="466">
    <w:name w:val="Heading 9"/>
    <w:basedOn w:val="618"/>
    <w:next w:val="618"/>
    <w:link w:val="4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7">
    <w:name w:val="Heading 9 Char"/>
    <w:basedOn w:val="621"/>
    <w:link w:val="466"/>
    <w:uiPriority w:val="9"/>
    <w:rPr>
      <w:rFonts w:ascii="Arial" w:hAnsi="Arial" w:cs="Arial" w:eastAsia="Arial"/>
      <w:i/>
      <w:iCs/>
      <w:sz w:val="21"/>
      <w:szCs w:val="21"/>
    </w:rPr>
  </w:style>
  <w:style w:type="character" w:styleId="468">
    <w:name w:val="Title Char"/>
    <w:basedOn w:val="621"/>
    <w:link w:val="634"/>
    <w:uiPriority w:val="10"/>
    <w:rPr>
      <w:sz w:val="48"/>
      <w:szCs w:val="48"/>
    </w:rPr>
  </w:style>
  <w:style w:type="character" w:styleId="469">
    <w:name w:val="Subtitle Char"/>
    <w:basedOn w:val="621"/>
    <w:link w:val="636"/>
    <w:uiPriority w:val="11"/>
    <w:rPr>
      <w:sz w:val="24"/>
      <w:szCs w:val="24"/>
    </w:rPr>
  </w:style>
  <w:style w:type="paragraph" w:styleId="470">
    <w:name w:val="Quote"/>
    <w:basedOn w:val="618"/>
    <w:next w:val="618"/>
    <w:link w:val="471"/>
    <w:qFormat/>
    <w:uiPriority w:val="29"/>
    <w:rPr>
      <w:i/>
    </w:rPr>
    <w:pPr>
      <w:ind w:left="720" w:right="720"/>
    </w:pPr>
  </w:style>
  <w:style w:type="character" w:styleId="471">
    <w:name w:val="Quote Char"/>
    <w:link w:val="470"/>
    <w:uiPriority w:val="29"/>
    <w:rPr>
      <w:i/>
    </w:rPr>
  </w:style>
  <w:style w:type="paragraph" w:styleId="472">
    <w:name w:val="Intense Quote"/>
    <w:basedOn w:val="618"/>
    <w:next w:val="618"/>
    <w:link w:val="47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3">
    <w:name w:val="Intense Quote Char"/>
    <w:link w:val="472"/>
    <w:uiPriority w:val="30"/>
    <w:rPr>
      <w:i/>
    </w:rPr>
  </w:style>
  <w:style w:type="paragraph" w:styleId="474">
    <w:name w:val="Header"/>
    <w:basedOn w:val="618"/>
    <w:link w:val="4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5">
    <w:name w:val="Header Char"/>
    <w:basedOn w:val="621"/>
    <w:link w:val="474"/>
    <w:uiPriority w:val="99"/>
  </w:style>
  <w:style w:type="paragraph" w:styleId="476">
    <w:name w:val="Footer"/>
    <w:basedOn w:val="618"/>
    <w:link w:val="4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7">
    <w:name w:val="Footer Char"/>
    <w:basedOn w:val="621"/>
    <w:link w:val="476"/>
    <w:uiPriority w:val="99"/>
  </w:style>
  <w:style w:type="paragraph" w:styleId="478">
    <w:name w:val="Caption"/>
    <w:basedOn w:val="618"/>
    <w:next w:val="6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79">
    <w:name w:val="Caption Char"/>
    <w:basedOn w:val="478"/>
    <w:link w:val="476"/>
    <w:uiPriority w:val="99"/>
  </w:style>
  <w:style w:type="table" w:styleId="480">
    <w:name w:val="Table Grid Light"/>
    <w:basedOn w:val="6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1">
    <w:name w:val="Plain Table 1"/>
    <w:basedOn w:val="6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2">
    <w:name w:val="Plain Table 2"/>
    <w:basedOn w:val="6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4">
    <w:name w:val="Plain Table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Plain Table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6">
    <w:name w:val="Grid Table 1 Light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Grid Table 1 Light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2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4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8">
    <w:name w:val="Grid Table 4 - Accent 1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9">
    <w:name w:val="Grid Table 4 - Accent 2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Grid Table 4 - Accent 3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1">
    <w:name w:val="Grid Table 4 - Accent 4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Grid Table 4 - Accent 5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3">
    <w:name w:val="Grid Table 4 - Accent 6"/>
    <w:basedOn w:val="6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4">
    <w:name w:val="Grid Table 5 Dark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5">
    <w:name w:val="Grid Table 5 Dark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6">
    <w:name w:val="Grid Table 5 Dark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8">
    <w:name w:val="Grid Table 5 Dark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1">
    <w:name w:val="Grid Table 6 Colorful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2">
    <w:name w:val="Grid Table 6 Colorful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3">
    <w:name w:val="Grid Table 6 Colorful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4">
    <w:name w:val="Grid Table 6 Colorful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5">
    <w:name w:val="Grid Table 6 Colorful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6">
    <w:name w:val="Grid Table 6 Colorful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7">
    <w:name w:val="Grid Table 6 Colorful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7 Colorful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7 Colorful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List Table 1 Light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3">
    <w:name w:val="List Table 2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4">
    <w:name w:val="List Table 2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5">
    <w:name w:val="List Table 2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6">
    <w:name w:val="List Table 2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7">
    <w:name w:val="List Table 2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8">
    <w:name w:val="List Table 2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9">
    <w:name w:val="List Table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3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5 Dark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4">
    <w:name w:val="List Table 5 Dark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6 Colorful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1">
    <w:name w:val="List Table 6 Colorful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2">
    <w:name w:val="List Table 6 Colorful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3">
    <w:name w:val="List Table 6 Colorful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4">
    <w:name w:val="List Table 6 Colorful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5">
    <w:name w:val="List Table 6 Colorful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6">
    <w:name w:val="List Table 6 Colorful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7">
    <w:name w:val="List Table 7 Colorful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8">
    <w:name w:val="List Table 7 Colorful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79">
    <w:name w:val="List Table 7 Colorful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0">
    <w:name w:val="List Table 7 Colorful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1">
    <w:name w:val="List Table 7 Colorful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2">
    <w:name w:val="List Table 7 Colorful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3">
    <w:name w:val="List Table 7 Colorful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4">
    <w:name w:val="Lined - Accent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5">
    <w:name w:val="Lined - Accent 1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6">
    <w:name w:val="Lined - Accent 2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7">
    <w:name w:val="Lined - Accent 3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8">
    <w:name w:val="Lined - Accent 4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9">
    <w:name w:val="Lined - Accent 5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0">
    <w:name w:val="Lined - Accent 6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1">
    <w:name w:val="Bordered &amp; Lined - Accent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2">
    <w:name w:val="Bordered &amp; Lined - Accent 1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3">
    <w:name w:val="Bordered &amp; Lined - Accent 2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4">
    <w:name w:val="Bordered &amp; Lined - Accent 3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5">
    <w:name w:val="Bordered &amp; Lined - Accent 4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6">
    <w:name w:val="Bordered &amp; Lined - Accent 5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7">
    <w:name w:val="Bordered &amp; Lined - Accent 6"/>
    <w:basedOn w:val="6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8">
    <w:name w:val="Bordered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9">
    <w:name w:val="Bordered - Accent 1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0">
    <w:name w:val="Bordered - Accent 2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1">
    <w:name w:val="Bordered - Accent 3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2">
    <w:name w:val="Bordered - Accent 4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3">
    <w:name w:val="Bordered - Accent 5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4">
    <w:name w:val="Bordered - Accent 6"/>
    <w:basedOn w:val="6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5">
    <w:name w:val="Hyperlink"/>
    <w:uiPriority w:val="99"/>
    <w:unhideWhenUsed/>
    <w:rPr>
      <w:color w:val="0000FF" w:themeColor="hyperlink"/>
      <w:u w:val="single"/>
    </w:rPr>
  </w:style>
  <w:style w:type="paragraph" w:styleId="606">
    <w:name w:val="footnote text"/>
    <w:basedOn w:val="618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>
    <w:name w:val="Footnote Text Char"/>
    <w:link w:val="606"/>
    <w:uiPriority w:val="99"/>
    <w:rPr>
      <w:sz w:val="18"/>
    </w:rPr>
  </w:style>
  <w:style w:type="character" w:styleId="608">
    <w:name w:val="footnote reference"/>
    <w:basedOn w:val="621"/>
    <w:uiPriority w:val="99"/>
    <w:unhideWhenUsed/>
    <w:rPr>
      <w:vertAlign w:val="superscript"/>
    </w:rPr>
  </w:style>
  <w:style w:type="paragraph" w:styleId="609">
    <w:name w:val="endnote text"/>
    <w:basedOn w:val="618"/>
    <w:link w:val="610"/>
    <w:uiPriority w:val="99"/>
    <w:semiHidden/>
    <w:unhideWhenUsed/>
    <w:rPr>
      <w:sz w:val="20"/>
    </w:rPr>
    <w:pPr>
      <w:spacing w:lineRule="auto" w:line="240" w:after="0"/>
    </w:pPr>
  </w:style>
  <w:style w:type="character" w:styleId="610">
    <w:name w:val="Endnote Text Char"/>
    <w:link w:val="609"/>
    <w:uiPriority w:val="99"/>
    <w:rPr>
      <w:sz w:val="20"/>
    </w:rPr>
  </w:style>
  <w:style w:type="character" w:styleId="611">
    <w:name w:val="endnote reference"/>
    <w:basedOn w:val="621"/>
    <w:uiPriority w:val="99"/>
    <w:semiHidden/>
    <w:unhideWhenUsed/>
    <w:rPr>
      <w:vertAlign w:val="superscript"/>
    </w:rPr>
  </w:style>
  <w:style w:type="paragraph" w:styleId="612">
    <w:name w:val="toc 4"/>
    <w:basedOn w:val="618"/>
    <w:next w:val="618"/>
    <w:uiPriority w:val="39"/>
    <w:unhideWhenUsed/>
    <w:pPr>
      <w:ind w:left="850" w:right="0" w:firstLine="0"/>
      <w:spacing w:after="57"/>
    </w:pPr>
  </w:style>
  <w:style w:type="paragraph" w:styleId="613">
    <w:name w:val="toc 5"/>
    <w:basedOn w:val="618"/>
    <w:next w:val="618"/>
    <w:uiPriority w:val="39"/>
    <w:unhideWhenUsed/>
    <w:pPr>
      <w:ind w:left="1134" w:right="0" w:firstLine="0"/>
      <w:spacing w:after="57"/>
    </w:pPr>
  </w:style>
  <w:style w:type="paragraph" w:styleId="614">
    <w:name w:val="toc 6"/>
    <w:basedOn w:val="618"/>
    <w:next w:val="618"/>
    <w:uiPriority w:val="39"/>
    <w:unhideWhenUsed/>
    <w:pPr>
      <w:ind w:left="1417" w:right="0" w:firstLine="0"/>
      <w:spacing w:after="57"/>
    </w:pPr>
  </w:style>
  <w:style w:type="paragraph" w:styleId="615">
    <w:name w:val="toc 7"/>
    <w:basedOn w:val="618"/>
    <w:next w:val="618"/>
    <w:uiPriority w:val="39"/>
    <w:unhideWhenUsed/>
    <w:pPr>
      <w:ind w:left="1701" w:right="0" w:firstLine="0"/>
      <w:spacing w:after="57"/>
    </w:pPr>
  </w:style>
  <w:style w:type="paragraph" w:styleId="616">
    <w:name w:val="toc 8"/>
    <w:basedOn w:val="618"/>
    <w:next w:val="618"/>
    <w:uiPriority w:val="39"/>
    <w:unhideWhenUsed/>
    <w:pPr>
      <w:ind w:left="1984" w:right="0" w:firstLine="0"/>
      <w:spacing w:after="57"/>
    </w:pPr>
  </w:style>
  <w:style w:type="paragraph" w:styleId="617">
    <w:name w:val="toc 9"/>
    <w:basedOn w:val="618"/>
    <w:next w:val="618"/>
    <w:uiPriority w:val="39"/>
    <w:unhideWhenUsed/>
    <w:pPr>
      <w:ind w:left="2268" w:right="0" w:firstLine="0"/>
      <w:spacing w:after="57"/>
    </w:pPr>
  </w:style>
  <w:style w:type="paragraph" w:styleId="618" w:default="1">
    <w:name w:val="Normal"/>
    <w:qFormat/>
    <w:rPr>
      <w:sz w:val="24"/>
      <w:szCs w:val="24"/>
      <w:lang w:eastAsia="zh-CN"/>
    </w:rPr>
  </w:style>
  <w:style w:type="paragraph" w:styleId="619">
    <w:name w:val="Heading 1"/>
    <w:basedOn w:val="618"/>
    <w:next w:val="618"/>
    <w:link w:val="628"/>
    <w:qFormat/>
    <w:uiPriority w:val="9"/>
    <w:rPr>
      <w:rFonts w:ascii="Cambria" w:hAnsi="Cambria" w:eastAsia="Times New Roman"/>
      <w:b/>
      <w:bCs/>
      <w:color w:val="365F91"/>
      <w:sz w:val="28"/>
      <w:szCs w:val="28"/>
    </w:rPr>
    <w:pPr>
      <w:keepLines/>
      <w:keepNext/>
      <w:spacing w:before="480"/>
      <w:outlineLvl w:val="0"/>
    </w:pPr>
  </w:style>
  <w:style w:type="paragraph" w:styleId="620">
    <w:name w:val="Heading 3"/>
    <w:basedOn w:val="618"/>
    <w:next w:val="618"/>
    <w:link w:val="629"/>
    <w:qFormat/>
    <w:uiPriority w:val="9"/>
    <w:rPr>
      <w:rFonts w:ascii="Cambria" w:hAnsi="Cambria" w:eastAsia="Times New Roman"/>
      <w:b/>
      <w:bCs/>
      <w:sz w:val="26"/>
      <w:szCs w:val="26"/>
    </w:rPr>
    <w:pPr>
      <w:keepNext/>
      <w:spacing w:after="60" w:before="240"/>
      <w:outlineLvl w:val="2"/>
    </w:pPr>
  </w:style>
  <w:style w:type="character" w:styleId="621" w:default="1">
    <w:name w:val="Default Paragraph Font"/>
    <w:uiPriority w:val="1"/>
    <w:semiHidden/>
    <w:unhideWhenUsed/>
  </w:style>
  <w:style w:type="table" w:styleId="62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3" w:default="1">
    <w:name w:val="No List"/>
    <w:uiPriority w:val="99"/>
    <w:semiHidden/>
    <w:unhideWhenUsed/>
  </w:style>
  <w:style w:type="paragraph" w:styleId="624">
    <w:name w:val="Body Text"/>
    <w:basedOn w:val="618"/>
    <w:link w:val="625"/>
    <w:qFormat/>
    <w:uiPriority w:val="99"/>
    <w:unhideWhenUsed/>
    <w:pPr>
      <w:spacing w:after="120"/>
    </w:pPr>
  </w:style>
  <w:style w:type="character" w:styleId="625" w:customStyle="1">
    <w:name w:val="Основной текст Знак"/>
    <w:link w:val="624"/>
    <w:uiPriority w:val="99"/>
    <w:rPr>
      <w:sz w:val="24"/>
      <w:szCs w:val="24"/>
      <w:lang w:eastAsia="zh-CN"/>
    </w:rPr>
  </w:style>
  <w:style w:type="paragraph" w:styleId="626">
    <w:name w:val="List Paragraph"/>
    <w:basedOn w:val="618"/>
    <w:link w:val="641"/>
    <w:qFormat/>
    <w:uiPriority w:val="34"/>
    <w:pPr>
      <w:contextualSpacing w:val="true"/>
      <w:ind w:left="720"/>
    </w:pPr>
  </w:style>
  <w:style w:type="paragraph" w:styleId="627" w:customStyle="1">
    <w:name w:val="Table Paragraph"/>
    <w:basedOn w:val="618"/>
    <w:qFormat/>
    <w:uiPriority w:val="1"/>
    <w:rPr>
      <w:rFonts w:ascii="Calibri" w:hAnsi="Calibri"/>
      <w:sz w:val="22"/>
      <w:szCs w:val="22"/>
      <w:lang w:val="en-US" w:eastAsia="en-US"/>
    </w:rPr>
    <w:pPr>
      <w:widowControl w:val="off"/>
    </w:pPr>
  </w:style>
  <w:style w:type="character" w:styleId="628" w:customStyle="1">
    <w:name w:val="Заголовок 1 Знак"/>
    <w:link w:val="619"/>
    <w:uiPriority w:val="9"/>
    <w:rPr>
      <w:rFonts w:ascii="Cambria" w:hAnsi="Cambria" w:cs="Times New Roman" w:eastAsia="Times New Roman"/>
      <w:b/>
      <w:bCs/>
      <w:color w:val="365F91"/>
      <w:sz w:val="28"/>
      <w:szCs w:val="28"/>
      <w:lang w:eastAsia="zh-CN"/>
    </w:rPr>
  </w:style>
  <w:style w:type="character" w:styleId="629" w:customStyle="1">
    <w:name w:val="Заголовок 3 Знак"/>
    <w:basedOn w:val="621"/>
    <w:link w:val="620"/>
    <w:uiPriority w:val="9"/>
    <w:rPr>
      <w:rFonts w:ascii="Cambria" w:hAnsi="Cambria" w:eastAsia="Times New Roman"/>
      <w:b/>
      <w:bCs/>
      <w:sz w:val="26"/>
      <w:szCs w:val="26"/>
      <w:lang w:eastAsia="zh-CN"/>
    </w:rPr>
  </w:style>
  <w:style w:type="character" w:styleId="630" w:customStyle="1">
    <w:name w:val="Заголовок 3 Знак1"/>
    <w:basedOn w:val="621"/>
    <w:uiPriority w:val="9"/>
    <w:rPr>
      <w:rFonts w:ascii="Cambria" w:hAnsi="Cambria" w:cs="Times New Roman" w:eastAsia="Times New Roman"/>
      <w:b/>
      <w:bCs/>
      <w:sz w:val="26"/>
      <w:szCs w:val="26"/>
      <w:lang w:eastAsia="zh-CN"/>
    </w:rPr>
  </w:style>
  <w:style w:type="paragraph" w:styleId="631">
    <w:name w:val="toc 1"/>
    <w:basedOn w:val="618"/>
    <w:next w:val="618"/>
    <w:qFormat/>
    <w:uiPriority w:val="39"/>
    <w:unhideWhenUsed/>
    <w:pPr>
      <w:spacing w:after="100"/>
    </w:pPr>
  </w:style>
  <w:style w:type="paragraph" w:styleId="632">
    <w:name w:val="toc 2"/>
    <w:basedOn w:val="618"/>
    <w:next w:val="618"/>
    <w:qFormat/>
    <w:uiPriority w:val="39"/>
    <w:semiHidden/>
    <w:unhideWhenUsed/>
    <w:rPr>
      <w:rFonts w:ascii="Calibri" w:hAnsi="Calibri" w:eastAsia="Times New Roman"/>
      <w:sz w:val="22"/>
      <w:szCs w:val="22"/>
      <w:lang w:eastAsia="ru-RU"/>
    </w:rPr>
    <w:pPr>
      <w:ind w:left="220"/>
      <w:spacing w:lineRule="auto" w:line="276" w:after="100"/>
    </w:pPr>
  </w:style>
  <w:style w:type="paragraph" w:styleId="633">
    <w:name w:val="toc 3"/>
    <w:basedOn w:val="618"/>
    <w:next w:val="618"/>
    <w:qFormat/>
    <w:uiPriority w:val="39"/>
    <w:semiHidden/>
    <w:unhideWhenUsed/>
    <w:rPr>
      <w:rFonts w:ascii="Calibri" w:hAnsi="Calibri" w:eastAsia="Times New Roman"/>
      <w:sz w:val="22"/>
      <w:szCs w:val="22"/>
      <w:lang w:eastAsia="ru-RU"/>
    </w:rPr>
    <w:pPr>
      <w:ind w:left="440"/>
      <w:spacing w:lineRule="auto" w:line="276" w:after="100"/>
    </w:pPr>
  </w:style>
  <w:style w:type="paragraph" w:styleId="634">
    <w:name w:val="Title"/>
    <w:basedOn w:val="618"/>
    <w:link w:val="635"/>
    <w:qFormat/>
    <w:rPr>
      <w:rFonts w:ascii="Cambria" w:hAnsi="Cambria" w:cs="Cambria" w:eastAsia="Times New Roman"/>
      <w:b/>
      <w:bCs/>
      <w:sz w:val="32"/>
      <w:szCs w:val="32"/>
      <w:lang w:eastAsia="ru-RU"/>
    </w:rPr>
    <w:pPr>
      <w:jc w:val="center"/>
      <w:spacing w:after="60" w:before="240"/>
      <w:widowControl w:val="off"/>
      <w:outlineLvl w:val="0"/>
    </w:pPr>
  </w:style>
  <w:style w:type="character" w:styleId="635" w:customStyle="1">
    <w:name w:val="Название Знак"/>
    <w:basedOn w:val="621"/>
    <w:link w:val="634"/>
    <w:rPr>
      <w:rFonts w:ascii="Cambria" w:hAnsi="Cambria" w:cs="Cambria" w:eastAsia="Times New Roman"/>
      <w:b/>
      <w:bCs/>
      <w:sz w:val="32"/>
      <w:szCs w:val="32"/>
    </w:rPr>
  </w:style>
  <w:style w:type="paragraph" w:styleId="636">
    <w:name w:val="Subtitle"/>
    <w:basedOn w:val="618"/>
    <w:next w:val="618"/>
    <w:link w:val="637"/>
    <w:qFormat/>
    <w:uiPriority w:val="11"/>
    <w:rPr>
      <w:rFonts w:ascii="Cambria" w:hAnsi="Cambria" w:eastAsia="Times New Roman"/>
      <w:i/>
      <w:iCs/>
      <w:color w:val="4F81BD"/>
      <w:spacing w:val="15"/>
    </w:rPr>
    <w:pPr>
      <w:numPr>
        <w:ilvl w:val="1"/>
      </w:numPr>
    </w:pPr>
  </w:style>
  <w:style w:type="character" w:styleId="637" w:customStyle="1">
    <w:name w:val="Подзаголовок Знак"/>
    <w:link w:val="636"/>
    <w:uiPriority w:val="11"/>
    <w:rPr>
      <w:rFonts w:ascii="Cambria" w:hAnsi="Cambria" w:cs="Times New Roman" w:eastAsia="Times New Roman"/>
      <w:i/>
      <w:iCs/>
      <w:color w:val="4F81BD"/>
      <w:spacing w:val="15"/>
      <w:sz w:val="24"/>
      <w:szCs w:val="24"/>
      <w:lang w:eastAsia="zh-CN"/>
    </w:rPr>
  </w:style>
  <w:style w:type="character" w:styleId="638">
    <w:name w:val="Emphasis"/>
    <w:qFormat/>
    <w:rPr>
      <w:i/>
      <w:iCs/>
    </w:rPr>
  </w:style>
  <w:style w:type="paragraph" w:styleId="639">
    <w:name w:val="No Spacing"/>
    <w:link w:val="640"/>
    <w:qFormat/>
    <w:uiPriority w:val="1"/>
    <w:rPr>
      <w:rFonts w:ascii="Times New Roman CYR" w:hAnsi="Times New Roman CYR" w:eastAsia="Times New Roman"/>
      <w:lang w:eastAsia="en-US"/>
    </w:rPr>
  </w:style>
  <w:style w:type="character" w:styleId="640" w:customStyle="1">
    <w:name w:val="Без интервала Знак"/>
    <w:basedOn w:val="621"/>
    <w:link w:val="639"/>
    <w:uiPriority w:val="1"/>
    <w:rPr>
      <w:rFonts w:ascii="Times New Roman CYR" w:hAnsi="Times New Roman CYR" w:eastAsia="Times New Roman"/>
      <w:lang w:eastAsia="en-US"/>
    </w:rPr>
  </w:style>
  <w:style w:type="character" w:styleId="641" w:customStyle="1">
    <w:name w:val="Абзац списка Знак"/>
    <w:link w:val="626"/>
    <w:uiPriority w:val="34"/>
    <w:rPr>
      <w:sz w:val="24"/>
      <w:szCs w:val="24"/>
      <w:lang w:eastAsia="zh-CN"/>
    </w:rPr>
  </w:style>
  <w:style w:type="paragraph" w:styleId="642">
    <w:name w:val="TOC Heading"/>
    <w:basedOn w:val="619"/>
    <w:next w:val="618"/>
    <w:qFormat/>
    <w:uiPriority w:val="39"/>
    <w:rPr>
      <w:lang w:eastAsia="ru-RU"/>
    </w:rPr>
    <w:pPr>
      <w:spacing w:lineRule="auto" w:line="276"/>
      <w:outlineLvl w:val="9"/>
    </w:pPr>
  </w:style>
  <w:style w:type="paragraph" w:styleId="643" w:customStyle="1">
    <w:name w:val="Heading 1"/>
    <w:basedOn w:val="618"/>
    <w:qFormat/>
    <w:uiPriority w:val="1"/>
    <w:rPr>
      <w:rFonts w:eastAsia="Times New Roman"/>
      <w:b/>
      <w:bCs/>
      <w:sz w:val="22"/>
      <w:szCs w:val="22"/>
      <w:lang w:val="en-US" w:eastAsia="en-US"/>
    </w:rPr>
    <w:pPr>
      <w:ind w:left="102"/>
      <w:widowControl w:val="off"/>
      <w:outlineLvl w:val="1"/>
    </w:pPr>
  </w:style>
  <w:style w:type="paragraph" w:styleId="644" w:customStyle="1">
    <w:name w:val="Heading 2"/>
    <w:basedOn w:val="618"/>
    <w:qFormat/>
    <w:uiPriority w:val="1"/>
    <w:rPr>
      <w:rFonts w:eastAsia="Times New Roman"/>
      <w:sz w:val="22"/>
      <w:szCs w:val="22"/>
      <w:lang w:val="en-US" w:eastAsia="en-US"/>
    </w:rPr>
    <w:pPr>
      <w:ind w:left="102" w:firstLine="566"/>
      <w:widowControl w:val="off"/>
      <w:outlineLvl w:val="2"/>
    </w:pPr>
  </w:style>
  <w:style w:type="paragraph" w:styleId="645" w:customStyle="1">
    <w:name w:val="Heading 3"/>
    <w:basedOn w:val="618"/>
    <w:qFormat/>
    <w:uiPriority w:val="1"/>
    <w:rPr>
      <w:rFonts w:eastAsia="Times New Roman"/>
      <w:b/>
      <w:bCs/>
      <w:sz w:val="20"/>
      <w:szCs w:val="20"/>
      <w:lang w:val="en-US" w:eastAsia="en-US"/>
    </w:rPr>
    <w:pPr>
      <w:ind w:left="102"/>
      <w:widowControl w:val="off"/>
      <w:outlineLvl w:val="3"/>
    </w:pPr>
  </w:style>
  <w:style w:type="paragraph" w:styleId="646">
    <w:name w:val="Balloon Text"/>
    <w:basedOn w:val="618"/>
    <w:link w:val="647"/>
    <w:uiPriority w:val="99"/>
    <w:semiHidden/>
    <w:unhideWhenUsed/>
    <w:rPr>
      <w:rFonts w:ascii="Tahoma" w:hAnsi="Tahoma" w:cs="Tahoma"/>
      <w:sz w:val="16"/>
      <w:szCs w:val="16"/>
    </w:rPr>
  </w:style>
  <w:style w:type="character" w:styleId="647" w:customStyle="1">
    <w:name w:val="Текст выноски Знак"/>
    <w:basedOn w:val="621"/>
    <w:link w:val="646"/>
    <w:uiPriority w:val="99"/>
    <w:semiHidden/>
    <w:rPr>
      <w:rFonts w:ascii="Tahoma" w:hAnsi="Tahoma" w:cs="Tahoma"/>
      <w:sz w:val="16"/>
      <w:szCs w:val="16"/>
      <w:lang w:eastAsia="zh-CN"/>
    </w:rPr>
  </w:style>
  <w:style w:type="table" w:styleId="648">
    <w:name w:val="Table Grid"/>
    <w:basedOn w:val="622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49" w:customStyle="1">
    <w:name w:val="apple-converted-space"/>
  </w:style>
  <w:style w:type="paragraph" w:styleId="650" w:customStyle="1">
    <w:name w:val="ConsPlusNormal"/>
    <w:qFormat/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2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21</cp:revision>
  <dcterms:created xsi:type="dcterms:W3CDTF">2020-02-13T12:30:00Z</dcterms:created>
  <dcterms:modified xsi:type="dcterms:W3CDTF">2023-04-12T08:05:19Z</dcterms:modified>
</cp:coreProperties>
</file>