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C6D9F1"/>
  </w:background>
  <w:body>
    <w:tbl>
      <w:tblPr>
        <w:tblW w:w="0" w:type="auto"/>
        <w:tblInd w:w="0" w:type="dxa"/>
        <w:tblBorders>
          <w:left w:val="single" w:color="7BA0CD" w:sz="8" w:space="0"/>
          <w:top w:val="single" w:color="7BA0CD" w:sz="8" w:space="0"/>
          <w:right w:val="single" w:color="7BA0CD" w:sz="8" w:space="0"/>
          <w:bottom w:val="single" w:color="7BA0CD" w:sz="8" w:space="0"/>
          <w:insideV w:val="single" w:color="7BA0CD" w:sz="8" w:space="0"/>
          <w:insideH w:val="single" w:color="7BA0CD" w:sz="8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>
        <w:tc>
          <w:tcPr>
            <w:gridSpan w:val="4"/>
            <w:shd w:val="clear" w:fill="D3DFEE" w:color="D3DFEE"/>
            <w:tcW w:w="1478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 xml:space="preserve">Получаете заработную плату «в конверте»? ЗАДУМАЙТЕСЬ</w:t>
            </w:r>
            <w:r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 xml:space="preserve">…</w:t>
            </w:r>
            <w:r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</w:r>
          </w:p>
        </w:tc>
      </w:tr>
      <w:tr>
        <w:tc>
          <w:tcPr>
            <w:gridSpan w:val="2"/>
            <w:shd w:val="clear" w:fill="A7BFDE" w:color="A7BFDE"/>
            <w:tcW w:w="739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bCs/>
                <w:color w:val="17365D"/>
              </w:rPr>
            </w:pPr>
            <w:r>
              <w:rPr>
                <w:rFonts w:ascii="Century Gothic" w:hAnsi="Century Gothic"/>
                <w:b/>
                <w:bCs/>
                <w:color w:val="17365D"/>
              </w:rPr>
              <w:t xml:space="preserve">Плюсы официальных трудовых отношений</w:t>
            </w:r>
          </w:p>
        </w:tc>
        <w:tc>
          <w:tcPr>
            <w:gridSpan w:val="2"/>
            <w:shd w:val="clear" w:fill="A7BFDE" w:color="A7BFDE"/>
            <w:tcW w:w="739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color w:val="17365D"/>
              </w:rPr>
            </w:pPr>
            <w:r>
              <w:rPr>
                <w:rFonts w:ascii="Century Gothic" w:hAnsi="Century Gothic"/>
                <w:b/>
                <w:color w:val="17365D"/>
              </w:rPr>
              <w:t xml:space="preserve">Минусы неформальных трудовых отношений</w:t>
            </w:r>
            <w:r>
              <w:rPr>
                <w:rFonts w:ascii="Century Gothic" w:hAnsi="Century Gothic"/>
                <w:b/>
                <w:color w:val="17365D"/>
              </w:rPr>
            </w:r>
          </w:p>
        </w:tc>
      </w:tr>
      <w:tr>
        <w:trPr>
          <w:trHeight w:val="357"/>
        </w:trP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bCs/>
                <w:color w:val="17365D"/>
              </w:rPr>
            </w:pPr>
            <w:r>
              <w:rPr>
                <w:rFonts w:ascii="Century Gothic" w:hAnsi="Century Gothic"/>
                <w:b/>
                <w:bCs/>
                <w:color w:val="17365D"/>
              </w:rPr>
              <w:t xml:space="preserve">для работодателей</w:t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color w:val="17365D"/>
              </w:rPr>
            </w:pPr>
            <w:r>
              <w:rPr>
                <w:rFonts w:ascii="Century Gothic" w:hAnsi="Century Gothic"/>
                <w:b/>
                <w:color w:val="17365D"/>
              </w:rPr>
              <w:t xml:space="preserve">для работников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color w:val="17365D"/>
              </w:rPr>
            </w:pPr>
            <w:r>
              <w:rPr>
                <w:rFonts w:ascii="Century Gothic" w:hAnsi="Century Gothic"/>
                <w:b/>
                <w:color w:val="17365D"/>
              </w:rPr>
              <w:t xml:space="preserve">для работодателей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/>
                <w:color w:val="17365D"/>
              </w:rPr>
            </w:pPr>
            <w:r>
              <w:rPr>
                <w:rFonts w:ascii="Century Gothic" w:hAnsi="Century Gothic"/>
                <w:b/>
                <w:color w:val="17365D"/>
              </w:rPr>
              <w:t xml:space="preserve">для работников</w:t>
            </w:r>
          </w:p>
        </w:tc>
      </w:tr>
      <w:tr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Cs/>
                <w:color w:val="17365D"/>
              </w:rPr>
            </w:pPr>
            <w:r>
              <w:rPr>
                <w:rFonts w:ascii="Century Gothic" w:hAnsi="Century Gothic"/>
                <w:bCs/>
                <w:color w:val="17365D"/>
              </w:rPr>
              <w:t xml:space="preserve">хорошая деловая репут</w:t>
            </w:r>
            <w:r>
              <w:rPr>
                <w:rFonts w:ascii="Century Gothic" w:hAnsi="Century Gothic"/>
                <w:bCs/>
                <w:color w:val="17365D"/>
              </w:rPr>
              <w:t xml:space="preserve">а</w:t>
            </w:r>
            <w:r>
              <w:rPr>
                <w:rFonts w:ascii="Century Gothic" w:hAnsi="Century Gothic"/>
                <w:bCs/>
                <w:color w:val="17365D"/>
              </w:rPr>
              <w:t xml:space="preserve">ция</w:t>
            </w:r>
          </w:p>
        </w:tc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получение официальной зар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ботной платы, своевременно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 в по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л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ном объеме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административные штр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фы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условия труда, продолжител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ь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ность рабочего дня, дополнител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ь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ные обязанн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сти</w:t>
            </w:r>
          </w:p>
        </w:tc>
      </w:tr>
      <w:t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bCs/>
                <w:color w:val="17365D"/>
              </w:rPr>
            </w:pPr>
            <w:r>
              <w:rPr>
                <w:rFonts w:ascii="Century Gothic" w:hAnsi="Century Gothic"/>
                <w:bCs/>
                <w:color w:val="17365D"/>
              </w:rPr>
              <w:t xml:space="preserve">положительный имидж соц</w:t>
            </w:r>
            <w:r>
              <w:rPr>
                <w:rFonts w:ascii="Century Gothic" w:hAnsi="Century Gothic"/>
                <w:bCs/>
                <w:color w:val="17365D"/>
              </w:rPr>
              <w:t xml:space="preserve">и</w:t>
            </w:r>
            <w:r>
              <w:rPr>
                <w:rFonts w:ascii="Century Gothic" w:hAnsi="Century Gothic"/>
                <w:bCs/>
                <w:color w:val="17365D"/>
              </w:rPr>
              <w:t xml:space="preserve">ально ответственного работ</w:t>
            </w:r>
            <w:r>
              <w:rPr>
                <w:rFonts w:ascii="Century Gothic" w:hAnsi="Century Gothic"/>
                <w:bCs/>
                <w:color w:val="17365D"/>
              </w:rPr>
              <w:t xml:space="preserve">о</w:t>
            </w:r>
            <w:r>
              <w:rPr>
                <w:rFonts w:ascii="Century Gothic" w:hAnsi="Century Gothic"/>
                <w:bCs/>
                <w:color w:val="17365D"/>
              </w:rPr>
              <w:t xml:space="preserve">дателя</w:t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оплачиваемый листок време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ной нетрудоспособности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отсутств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возможност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ь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ч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сти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я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 государственных пр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граммах, государственной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д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держке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не перечисляются страховые взносы во внебюджетные фонды</w:t>
            </w:r>
          </w:p>
        </w:tc>
      </w:tr>
      <w:tr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Cs/>
                <w:color w:val="17365D"/>
              </w:rPr>
            </w:pPr>
            <w:r>
              <w:rPr>
                <w:rFonts w:ascii="Century Gothic" w:hAnsi="Century Gothic"/>
                <w:bCs/>
                <w:color w:val="17365D"/>
              </w:rPr>
              <w:t xml:space="preserve">возможность участия в пр</w:t>
            </w:r>
            <w:r>
              <w:rPr>
                <w:rFonts w:ascii="Century Gothic" w:hAnsi="Century Gothic"/>
                <w:bCs/>
                <w:color w:val="17365D"/>
              </w:rPr>
              <w:t xml:space="preserve">о</w:t>
            </w:r>
            <w:r>
              <w:rPr>
                <w:rFonts w:ascii="Century Gothic" w:hAnsi="Century Gothic"/>
                <w:bCs/>
                <w:color w:val="17365D"/>
              </w:rPr>
              <w:t xml:space="preserve">граммах господдер</w:t>
            </w:r>
            <w:r>
              <w:rPr>
                <w:rFonts w:ascii="Century Gothic" w:hAnsi="Century Gothic"/>
                <w:bCs/>
                <w:color w:val="17365D"/>
              </w:rPr>
              <w:t xml:space="preserve">ж</w:t>
            </w:r>
            <w:r>
              <w:rPr>
                <w:rFonts w:ascii="Century Gothic" w:hAnsi="Century Gothic"/>
                <w:bCs/>
                <w:color w:val="17365D"/>
              </w:rPr>
              <w:t xml:space="preserve">ки</w:t>
            </w:r>
          </w:p>
        </w:tc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осуществление обязательного социального страхования рабо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ников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риск проведения проверок со стороны ко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трольно-надзорных органов,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в том числе орга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нов прокуратуры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отсутствие соц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альных гарантий  (оплачиваемого лист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к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 време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ной нетрудоспособности, опл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чиваемого отпуска, д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стойной пенсии)</w:t>
            </w:r>
          </w:p>
        </w:tc>
      </w:tr>
      <w:t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before="200"/>
              <w:rPr>
                <w:rFonts w:ascii="Century Gothic" w:hAnsi="Century Gothic"/>
                <w:bCs/>
                <w:color w:val="17365D"/>
              </w:rPr>
            </w:pPr>
            <w:r>
              <w:rPr>
                <w:rFonts w:ascii="Century Gothic" w:hAnsi="Century Gothic"/>
                <w:bCs/>
                <w:color w:val="17365D"/>
              </w:rPr>
              <w:t xml:space="preserve">право требовать от работн</w:t>
            </w:r>
            <w:r>
              <w:rPr>
                <w:rFonts w:ascii="Century Gothic" w:hAnsi="Century Gothic"/>
                <w:bCs/>
                <w:color w:val="17365D"/>
              </w:rPr>
              <w:t xml:space="preserve">и</w:t>
            </w:r>
            <w:r>
              <w:rPr>
                <w:rFonts w:ascii="Century Gothic" w:hAnsi="Century Gothic"/>
                <w:bCs/>
                <w:color w:val="17365D"/>
              </w:rPr>
              <w:t xml:space="preserve">ка испол</w:t>
            </w:r>
            <w:r>
              <w:rPr>
                <w:rFonts w:ascii="Century Gothic" w:hAnsi="Century Gothic"/>
                <w:bCs/>
                <w:color w:val="17365D"/>
              </w:rPr>
              <w:t xml:space="preserve">нения трудовых обяза</w:t>
            </w:r>
            <w:r>
              <w:rPr>
                <w:rFonts w:ascii="Century Gothic" w:hAnsi="Century Gothic"/>
                <w:bCs/>
                <w:color w:val="17365D"/>
              </w:rPr>
              <w:t xml:space="preserve">н</w:t>
            </w:r>
            <w:r>
              <w:rPr>
                <w:rFonts w:ascii="Century Gothic" w:hAnsi="Century Gothic"/>
                <w:bCs/>
                <w:color w:val="17365D"/>
              </w:rPr>
              <w:t xml:space="preserve">ностей, соблюдения пр</w:t>
            </w:r>
            <w:r>
              <w:rPr>
                <w:rFonts w:ascii="Century Gothic" w:hAnsi="Century Gothic"/>
                <w:bCs/>
                <w:color w:val="17365D"/>
              </w:rPr>
              <w:t xml:space="preserve">а</w:t>
            </w:r>
            <w:r>
              <w:rPr>
                <w:rFonts w:ascii="Century Gothic" w:hAnsi="Century Gothic"/>
                <w:bCs/>
                <w:color w:val="17365D"/>
              </w:rPr>
              <w:t xml:space="preserve">вил вну</w:t>
            </w:r>
            <w:r>
              <w:rPr>
                <w:rFonts w:ascii="Century Gothic" w:hAnsi="Century Gothic"/>
                <w:bCs/>
                <w:color w:val="17365D"/>
              </w:rPr>
              <w:t xml:space="preserve">т</w:t>
            </w:r>
            <w:r>
              <w:rPr>
                <w:rFonts w:ascii="Century Gothic" w:hAnsi="Century Gothic"/>
                <w:bCs/>
                <w:color w:val="17365D"/>
              </w:rPr>
              <w:t xml:space="preserve">реннего распорядка</w:t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получение гарантированных в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ы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плат при увольнении в связи с ли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к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видацией организаций, сокр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щением численности или штата работников, вр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менном простое, прохождении медицинского осмотра, наличии «доно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ских» дней и др.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отсутств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ь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влечь работника к ответственн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сти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за несоблюдение трудовой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ди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циплины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отсутствует возможность доказать стаж и опыт работы при попытке трудоустройства к другому раб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тодателю</w:t>
            </w:r>
          </w:p>
        </w:tc>
      </w:tr>
      <w:tr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ежегодный оплачиваемый 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пуск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отсутств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ь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обесп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ч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ения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сохранност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матер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альных ценн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о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стей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минимальный размер пособий по безработице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  <w:t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получение налоговых вычетов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увольнение без объяснения пр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чин и в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ы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плат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  <w:tr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получение пособия по береме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ности и родам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  <w:t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получение пособия по уходу за ребенком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до 1,5 лет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spacing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  <w:tr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возможность пол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у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чения кредита</w:t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A7BFDE" w:color="A7BFD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  <w:tr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государственное пенсионное обеспеч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ние</w:t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  <w:tc>
          <w:tcPr>
            <w:shd w:val="clear" w:fill="D3DFEE" w:color="D3DFEE"/>
            <w:tcW w:w="3697" w:type="dxa"/>
            <w:vAlign w:val="top"/>
            <w:textDirection w:val="lrTb"/>
          </w:tcPr>
          <w:p>
            <w:pPr>
              <w:pStyle w:val="Normal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</w:r>
          </w:p>
        </w:tc>
      </w:tr>
    </w:tbl>
    <w:sectPr>
      <w:type w:val="nextPage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displayBackgroundShape/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0">
    <w:name w:val="Текст выноски Знак"/>
    <w:next w:val="UserStyle_0"/>
    <w:link w:val="Acetate"/>
    <w:semiHidden/>
    <w:rPr>
      <w:rFonts w:ascii="Tahoma" w:hAnsi="Tahoma"/>
      <w:sz w:val="16"/>
      <w:szCs w:val="16"/>
      <w:lang w:eastAsia="en-US"/>
    </w:rPr>
  </w:style>
  <w:style w:type="table" w:styleId="172">
    <w:name w:val="Светлая заливка - Акцент 1"/>
    <w:basedOn w:val="TableNormal"/>
    <w:next w:val="172"/>
    <w:link w:val="Normal"/>
    <w:rPr>
      <w:color w:val="365F91"/>
    </w:rPr>
  </w:style>
  <w:style w:type="table" w:styleId="173">
    <w:name w:val="Светлый список - Акцент 1"/>
    <w:basedOn w:val="TableNormal"/>
    <w:next w:val="173"/>
    <w:link w:val="Normal"/>
  </w:style>
  <w:style w:type="table" w:styleId="233">
    <w:name w:val="Светлый список - Акцент 5"/>
    <w:basedOn w:val="TableNormal"/>
    <w:next w:val="233"/>
    <w:link w:val="Normal"/>
  </w:style>
  <w:style w:type="table" w:styleId="234">
    <w:name w:val="Светлая сетка - Акцент 5"/>
    <w:basedOn w:val="TableNormal"/>
    <w:next w:val="234"/>
    <w:link w:val="Normal"/>
  </w:style>
  <w:style w:type="table" w:styleId="174">
    <w:name w:val="Светлая сетка - Акцент 1"/>
    <w:basedOn w:val="TableNormal"/>
    <w:next w:val="174"/>
    <w:link w:val="Normal"/>
  </w:style>
  <w:style w:type="table" w:styleId="175">
    <w:name w:val="Средняя заливка 1 - Акцент 1"/>
    <w:basedOn w:val="TableNormal"/>
    <w:next w:val="175"/>
    <w:link w:val="Normal"/>
  </w:style>
  <w:style w:type="table" w:styleId="239">
    <w:name w:val="Средняя сетка 1 - Акцент 5"/>
    <w:basedOn w:val="TableNormal"/>
    <w:next w:val="239"/>
    <w:link w:val="Normal"/>
  </w:style>
  <w:style w:type="table" w:styleId="183">
    <w:name w:val="Средняя сетка 1 - Акцент 1"/>
    <w:basedOn w:val="TableNormal"/>
    <w:next w:val="183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